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073" w:type="dxa"/>
        <w:tblBorders>
          <w:bottom w:val="single" w:sz="18" w:space="0" w:color="auto"/>
        </w:tblBorders>
        <w:tblLayout w:type="fixed"/>
        <w:tblCellMar>
          <w:left w:w="70" w:type="dxa"/>
          <w:right w:w="70" w:type="dxa"/>
        </w:tblCellMar>
        <w:tblLook w:val="0000" w:firstRow="0" w:lastRow="0" w:firstColumn="0" w:lastColumn="0" w:noHBand="0" w:noVBand="0"/>
      </w:tblPr>
      <w:tblGrid>
        <w:gridCol w:w="9073"/>
      </w:tblGrid>
      <w:tr w:rsidR="00276822" w:rsidRPr="00596712" w:rsidTr="00B769BB">
        <w:trPr>
          <w:trHeight w:val="1560"/>
        </w:trPr>
        <w:tc>
          <w:tcPr>
            <w:tcW w:w="9073" w:type="dxa"/>
          </w:tcPr>
          <w:p w:rsidR="00276822" w:rsidRPr="00276822" w:rsidRDefault="00276822" w:rsidP="00B769BB">
            <w:pPr>
              <w:ind w:right="-4324" w:firstLine="709"/>
              <w:jc w:val="center"/>
              <w:rPr>
                <w:b/>
                <w:sz w:val="28"/>
                <w:szCs w:val="28"/>
                <w:lang w:val="ru-RU" w:eastAsia="ru-RU"/>
              </w:rPr>
            </w:pPr>
          </w:p>
          <w:p w:rsidR="00276822" w:rsidRPr="00276822" w:rsidRDefault="00276822" w:rsidP="00B769BB">
            <w:pPr>
              <w:keepNext/>
              <w:ind w:firstLine="709"/>
              <w:jc w:val="center"/>
              <w:outlineLvl w:val="6"/>
              <w:rPr>
                <w:b/>
                <w:sz w:val="28"/>
                <w:szCs w:val="28"/>
                <w:lang w:val="ru-RU" w:eastAsia="ru-RU"/>
              </w:rPr>
            </w:pPr>
            <w:r w:rsidRPr="00276822">
              <w:rPr>
                <w:b/>
                <w:sz w:val="28"/>
                <w:szCs w:val="28"/>
                <w:lang w:val="ru-RU" w:eastAsia="ru-RU"/>
              </w:rPr>
              <w:t>ПРЕСС-СЛУЖБА МИНИСТЕРСТВА ФИНАНСОВ РЕСПУБЛИКИ ТАТАРСТАН</w:t>
            </w:r>
          </w:p>
          <w:p w:rsidR="00276822" w:rsidRPr="00276822" w:rsidRDefault="00276822" w:rsidP="00B769BB">
            <w:pPr>
              <w:ind w:firstLine="709"/>
              <w:jc w:val="center"/>
              <w:rPr>
                <w:b/>
                <w:sz w:val="28"/>
                <w:szCs w:val="28"/>
                <w:lang w:val="tt-RU" w:eastAsia="ru-RU"/>
              </w:rPr>
            </w:pPr>
          </w:p>
          <w:p w:rsidR="00276822" w:rsidRPr="00276822" w:rsidRDefault="00276822" w:rsidP="00B769BB">
            <w:pPr>
              <w:keepNext/>
              <w:ind w:firstLine="709"/>
              <w:jc w:val="center"/>
              <w:outlineLvl w:val="6"/>
              <w:rPr>
                <w:sz w:val="28"/>
                <w:szCs w:val="28"/>
                <w:lang w:val="tt-RU" w:eastAsia="ru-RU"/>
              </w:rPr>
            </w:pPr>
            <w:r w:rsidRPr="00276822">
              <w:rPr>
                <w:b/>
                <w:sz w:val="28"/>
                <w:szCs w:val="28"/>
                <w:lang w:val="ru-RU" w:eastAsia="ru-RU"/>
              </w:rPr>
              <w:t>ТАТАРСТАН РЕСПУБЛИКАСЫ ФИНАНС  МИНИСТРЛЫГЫ</w:t>
            </w:r>
            <w:r w:rsidRPr="00276822">
              <w:rPr>
                <w:b/>
                <w:sz w:val="28"/>
                <w:szCs w:val="28"/>
                <w:lang w:val="tt-RU" w:eastAsia="ru-RU"/>
              </w:rPr>
              <w:t>НЫҢ МАТБУГАТ ХЕЗМӘТЕ</w:t>
            </w:r>
          </w:p>
          <w:p w:rsidR="00276822" w:rsidRPr="00276822" w:rsidRDefault="00276822" w:rsidP="00B769BB">
            <w:pPr>
              <w:ind w:firstLine="709"/>
              <w:jc w:val="center"/>
              <w:rPr>
                <w:sz w:val="28"/>
                <w:szCs w:val="28"/>
                <w:lang w:val="ru-RU" w:eastAsia="ru-RU"/>
              </w:rPr>
            </w:pPr>
          </w:p>
        </w:tc>
      </w:tr>
    </w:tbl>
    <w:p w:rsidR="00276822" w:rsidRPr="00F117E9" w:rsidRDefault="00276822" w:rsidP="00276822">
      <w:pPr>
        <w:ind w:firstLine="709"/>
        <w:jc w:val="both"/>
        <w:rPr>
          <w:sz w:val="28"/>
          <w:szCs w:val="28"/>
          <w:lang w:val="ru-RU" w:eastAsia="ru-RU"/>
        </w:rPr>
      </w:pPr>
      <w:r w:rsidRPr="00F117E9">
        <w:rPr>
          <w:sz w:val="28"/>
          <w:szCs w:val="28"/>
          <w:lang w:val="ru-RU" w:eastAsia="ru-RU"/>
        </w:rPr>
        <w:t>420015</w:t>
      </w:r>
      <w:r w:rsidRPr="00F117E9">
        <w:rPr>
          <w:sz w:val="28"/>
          <w:szCs w:val="28"/>
          <w:lang w:val="tt-RU" w:eastAsia="ru-RU"/>
        </w:rPr>
        <w:t xml:space="preserve"> Казан</w:t>
      </w:r>
      <w:r w:rsidRPr="00F117E9">
        <w:rPr>
          <w:sz w:val="28"/>
          <w:szCs w:val="28"/>
          <w:lang w:val="ru-RU" w:eastAsia="ru-RU"/>
        </w:rPr>
        <w:t>ь  ул.</w:t>
      </w:r>
      <w:r w:rsidRPr="00F117E9">
        <w:rPr>
          <w:sz w:val="28"/>
          <w:szCs w:val="28"/>
          <w:lang w:val="tt-RU" w:eastAsia="ru-RU"/>
        </w:rPr>
        <w:t xml:space="preserve"> </w:t>
      </w:r>
      <w:r w:rsidRPr="00F117E9">
        <w:rPr>
          <w:sz w:val="28"/>
          <w:szCs w:val="28"/>
          <w:lang w:val="ru-RU" w:eastAsia="ru-RU"/>
        </w:rPr>
        <w:t>Пушкина, 37</w:t>
      </w:r>
      <w:r w:rsidRPr="00F117E9">
        <w:rPr>
          <w:sz w:val="28"/>
          <w:szCs w:val="28"/>
          <w:lang w:val="tt-RU" w:eastAsia="ru-RU"/>
        </w:rPr>
        <w:t xml:space="preserve">                                             264-79-51 </w:t>
      </w:r>
      <w:r w:rsidRPr="00F117E9">
        <w:rPr>
          <w:sz w:val="28"/>
          <w:szCs w:val="28"/>
          <w:lang w:val="ru-RU" w:eastAsia="ru-RU"/>
        </w:rPr>
        <w:t xml:space="preserve">                           </w:t>
      </w:r>
      <w:r w:rsidRPr="00F117E9">
        <w:rPr>
          <w:sz w:val="28"/>
          <w:szCs w:val="28"/>
          <w:lang w:val="tt-RU" w:eastAsia="ru-RU"/>
        </w:rPr>
        <w:t xml:space="preserve">                                                          </w:t>
      </w:r>
    </w:p>
    <w:p w:rsidR="00276822" w:rsidRPr="00F117E9" w:rsidRDefault="00276822" w:rsidP="00276822">
      <w:pPr>
        <w:ind w:firstLine="709"/>
        <w:jc w:val="right"/>
        <w:rPr>
          <w:sz w:val="28"/>
          <w:szCs w:val="28"/>
          <w:lang w:val="ru-RU"/>
        </w:rPr>
      </w:pPr>
      <w:proofErr w:type="spellStart"/>
      <w:r w:rsidRPr="00F117E9">
        <w:rPr>
          <w:sz w:val="28"/>
          <w:szCs w:val="28"/>
        </w:rPr>
        <w:t>Gulyuza</w:t>
      </w:r>
      <w:proofErr w:type="spellEnd"/>
      <w:r w:rsidRPr="00F117E9">
        <w:rPr>
          <w:sz w:val="28"/>
          <w:szCs w:val="28"/>
          <w:lang w:val="ru-RU"/>
        </w:rPr>
        <w:t>.</w:t>
      </w:r>
      <w:proofErr w:type="spellStart"/>
      <w:r w:rsidRPr="00F117E9">
        <w:rPr>
          <w:sz w:val="28"/>
          <w:szCs w:val="28"/>
        </w:rPr>
        <w:t>Gimadieva</w:t>
      </w:r>
      <w:proofErr w:type="spellEnd"/>
      <w:r w:rsidRPr="00F117E9">
        <w:rPr>
          <w:sz w:val="28"/>
          <w:szCs w:val="28"/>
          <w:lang w:val="ru-RU"/>
        </w:rPr>
        <w:t>@</w:t>
      </w:r>
      <w:proofErr w:type="spellStart"/>
      <w:r w:rsidRPr="00F117E9">
        <w:rPr>
          <w:sz w:val="28"/>
          <w:szCs w:val="28"/>
        </w:rPr>
        <w:t>tatar</w:t>
      </w:r>
      <w:proofErr w:type="spellEnd"/>
      <w:r w:rsidRPr="00F117E9">
        <w:rPr>
          <w:sz w:val="28"/>
          <w:szCs w:val="28"/>
          <w:lang w:val="ru-RU"/>
        </w:rPr>
        <w:t>.</w:t>
      </w:r>
      <w:proofErr w:type="spellStart"/>
      <w:r w:rsidRPr="00F117E9">
        <w:rPr>
          <w:sz w:val="28"/>
          <w:szCs w:val="28"/>
        </w:rPr>
        <w:t>ru</w:t>
      </w:r>
      <w:proofErr w:type="spellEnd"/>
      <w:r w:rsidRPr="00F117E9">
        <w:rPr>
          <w:sz w:val="28"/>
          <w:szCs w:val="28"/>
          <w:lang w:val="ru-RU"/>
        </w:rPr>
        <w:t xml:space="preserve">                         </w:t>
      </w:r>
      <w:r w:rsidRPr="00F117E9">
        <w:rPr>
          <w:sz w:val="28"/>
          <w:szCs w:val="28"/>
          <w:lang w:val="tt-RU"/>
        </w:rPr>
        <w:t xml:space="preserve">                                                          </w:t>
      </w:r>
    </w:p>
    <w:p w:rsidR="00276822" w:rsidRPr="00F117E9" w:rsidRDefault="00276822" w:rsidP="00276822">
      <w:pPr>
        <w:jc w:val="center"/>
        <w:rPr>
          <w:b/>
          <w:sz w:val="28"/>
          <w:szCs w:val="28"/>
          <w:lang w:val="ru-RU" w:eastAsia="ru-RU"/>
        </w:rPr>
      </w:pPr>
    </w:p>
    <w:p w:rsidR="00596712" w:rsidRDefault="00276822" w:rsidP="00293EB6">
      <w:pPr>
        <w:spacing w:line="288" w:lineRule="auto"/>
        <w:ind w:firstLine="709"/>
        <w:jc w:val="center"/>
        <w:rPr>
          <w:b/>
          <w:sz w:val="28"/>
          <w:szCs w:val="28"/>
          <w:lang w:val="ru-RU" w:eastAsia="ru-RU"/>
        </w:rPr>
      </w:pPr>
      <w:r w:rsidRPr="00293EB6">
        <w:rPr>
          <w:b/>
          <w:sz w:val="28"/>
          <w:szCs w:val="28"/>
          <w:lang w:val="ru-RU" w:eastAsia="ru-RU"/>
        </w:rPr>
        <w:t>Пресс-релиз</w:t>
      </w:r>
    </w:p>
    <w:p w:rsidR="00293EB6" w:rsidRPr="00293EB6" w:rsidRDefault="00293EB6" w:rsidP="00293EB6">
      <w:pPr>
        <w:spacing w:line="288" w:lineRule="auto"/>
        <w:ind w:firstLine="709"/>
        <w:jc w:val="center"/>
        <w:rPr>
          <w:b/>
          <w:sz w:val="28"/>
          <w:szCs w:val="28"/>
          <w:lang w:val="ru-RU" w:eastAsia="ru-RU"/>
        </w:rPr>
      </w:pPr>
    </w:p>
    <w:p w:rsidR="00596712" w:rsidRPr="00293EB6" w:rsidRDefault="00F117E9" w:rsidP="00293EB6">
      <w:pPr>
        <w:spacing w:line="288" w:lineRule="auto"/>
        <w:ind w:firstLine="709"/>
        <w:jc w:val="both"/>
        <w:rPr>
          <w:sz w:val="28"/>
          <w:szCs w:val="28"/>
          <w:lang w:val="ru-RU"/>
        </w:rPr>
      </w:pPr>
      <w:r w:rsidRPr="00293EB6">
        <w:rPr>
          <w:b/>
          <w:sz w:val="28"/>
          <w:szCs w:val="28"/>
          <w:lang w:val="tt-RU"/>
        </w:rPr>
        <w:t>1</w:t>
      </w:r>
      <w:r w:rsidR="00CA2774" w:rsidRPr="00293EB6">
        <w:rPr>
          <w:b/>
          <w:sz w:val="28"/>
          <w:szCs w:val="28"/>
          <w:lang w:val="tt-RU"/>
        </w:rPr>
        <w:t>5</w:t>
      </w:r>
      <w:r w:rsidR="00F535D5" w:rsidRPr="00293EB6">
        <w:rPr>
          <w:b/>
          <w:sz w:val="28"/>
          <w:szCs w:val="28"/>
          <w:lang w:val="ru-RU"/>
        </w:rPr>
        <w:t xml:space="preserve"> декабря</w:t>
      </w:r>
      <w:r w:rsidR="00F535D5" w:rsidRPr="00293EB6">
        <w:rPr>
          <w:sz w:val="28"/>
          <w:szCs w:val="28"/>
          <w:lang w:val="ru-RU"/>
        </w:rPr>
        <w:t xml:space="preserve"> </w:t>
      </w:r>
      <w:r w:rsidR="001A5A5B" w:rsidRPr="00293EB6">
        <w:rPr>
          <w:sz w:val="28"/>
          <w:szCs w:val="28"/>
          <w:lang w:val="ru-RU"/>
        </w:rPr>
        <w:t xml:space="preserve">2018 года </w:t>
      </w:r>
      <w:r w:rsidR="00276822" w:rsidRPr="00293EB6">
        <w:rPr>
          <w:sz w:val="28"/>
          <w:szCs w:val="28"/>
          <w:lang w:val="ru-RU"/>
        </w:rPr>
        <w:t xml:space="preserve">в </w:t>
      </w:r>
      <w:r w:rsidR="00F535D5" w:rsidRPr="00293EB6">
        <w:rPr>
          <w:b/>
          <w:sz w:val="28"/>
          <w:szCs w:val="28"/>
          <w:lang w:val="ru-RU"/>
        </w:rPr>
        <w:t>10</w:t>
      </w:r>
      <w:r w:rsidR="00276822" w:rsidRPr="00293EB6">
        <w:rPr>
          <w:b/>
          <w:sz w:val="28"/>
          <w:szCs w:val="28"/>
          <w:lang w:val="ru-RU"/>
        </w:rPr>
        <w:t xml:space="preserve"> часов</w:t>
      </w:r>
      <w:r w:rsidR="00276822" w:rsidRPr="00293EB6">
        <w:rPr>
          <w:sz w:val="28"/>
          <w:szCs w:val="28"/>
          <w:lang w:val="ru-RU"/>
        </w:rPr>
        <w:t xml:space="preserve"> в </w:t>
      </w:r>
      <w:r w:rsidR="00F535D5" w:rsidRPr="00293EB6">
        <w:rPr>
          <w:b/>
          <w:bCs/>
          <w:sz w:val="28"/>
          <w:szCs w:val="28"/>
          <w:lang w:val="x-none" w:eastAsia="x-none"/>
        </w:rPr>
        <w:t>Казанск</w:t>
      </w:r>
      <w:r w:rsidR="00F535D5" w:rsidRPr="00293EB6">
        <w:rPr>
          <w:b/>
          <w:sz w:val="28"/>
          <w:szCs w:val="28"/>
          <w:lang w:val="ru-RU"/>
        </w:rPr>
        <w:t xml:space="preserve">ой </w:t>
      </w:r>
      <w:r w:rsidR="00F535D5" w:rsidRPr="00293EB6">
        <w:rPr>
          <w:b/>
          <w:bCs/>
          <w:sz w:val="28"/>
          <w:szCs w:val="28"/>
          <w:lang w:val="x-none" w:eastAsia="x-none"/>
        </w:rPr>
        <w:t>ратуш</w:t>
      </w:r>
      <w:r w:rsidR="00F535D5" w:rsidRPr="00293EB6">
        <w:rPr>
          <w:b/>
          <w:sz w:val="28"/>
          <w:szCs w:val="28"/>
          <w:lang w:val="ru-RU"/>
        </w:rPr>
        <w:t>е</w:t>
      </w:r>
      <w:r w:rsidR="00F535D5" w:rsidRPr="00293EB6">
        <w:rPr>
          <w:sz w:val="28"/>
          <w:szCs w:val="28"/>
          <w:lang w:val="ru-RU"/>
        </w:rPr>
        <w:t xml:space="preserve"> </w:t>
      </w:r>
      <w:r w:rsidR="00CA2774" w:rsidRPr="00293EB6">
        <w:rPr>
          <w:sz w:val="28"/>
          <w:szCs w:val="28"/>
          <w:lang w:val="ru-RU"/>
        </w:rPr>
        <w:t>состоится совместная коллегия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Республике Татарстан по вопросу «Об итогах ожидаемого исполнения консолидированного бюджета Республики Татарстан за 2018 год и задачах финансовых, казначейских и налоговых органов Республики Татарстан на 2019 год»</w:t>
      </w:r>
      <w:r w:rsidR="00C02333" w:rsidRPr="00293EB6">
        <w:rPr>
          <w:sz w:val="28"/>
          <w:szCs w:val="28"/>
          <w:lang w:val="ru-RU"/>
        </w:rPr>
        <w:t>.</w:t>
      </w:r>
    </w:p>
    <w:p w:rsidR="00293EB6" w:rsidRDefault="00F117E9" w:rsidP="00293EB6">
      <w:pPr>
        <w:spacing w:line="288" w:lineRule="auto"/>
        <w:ind w:firstLine="709"/>
        <w:jc w:val="both"/>
        <w:rPr>
          <w:sz w:val="28"/>
          <w:szCs w:val="28"/>
          <w:lang w:val="ru-RU"/>
        </w:rPr>
      </w:pPr>
      <w:r w:rsidRPr="00293EB6">
        <w:rPr>
          <w:sz w:val="28"/>
          <w:szCs w:val="28"/>
          <w:lang w:val="ru-RU"/>
        </w:rPr>
        <w:t>В совещании прим</w:t>
      </w:r>
      <w:r w:rsidR="00F535D5" w:rsidRPr="00293EB6">
        <w:rPr>
          <w:sz w:val="28"/>
          <w:szCs w:val="28"/>
          <w:lang w:val="ru-RU"/>
        </w:rPr>
        <w:t>у</w:t>
      </w:r>
      <w:r w:rsidRPr="00293EB6">
        <w:rPr>
          <w:sz w:val="28"/>
          <w:szCs w:val="28"/>
          <w:lang w:val="ru-RU"/>
        </w:rPr>
        <w:t xml:space="preserve">т участие </w:t>
      </w:r>
      <w:r w:rsidR="00CA2774" w:rsidRPr="00293EB6">
        <w:rPr>
          <w:sz w:val="28"/>
          <w:szCs w:val="28"/>
          <w:lang w:val="ru-RU"/>
        </w:rPr>
        <w:t xml:space="preserve">Президент Республики Татарстан </w:t>
      </w:r>
      <w:proofErr w:type="spellStart"/>
      <w:r w:rsidR="00CA2774" w:rsidRPr="00293EB6">
        <w:rPr>
          <w:sz w:val="28"/>
          <w:szCs w:val="28"/>
          <w:lang w:val="ru-RU"/>
        </w:rPr>
        <w:t>Минниханов</w:t>
      </w:r>
      <w:proofErr w:type="spellEnd"/>
      <w:r w:rsidR="00CA2774" w:rsidRPr="00293EB6">
        <w:rPr>
          <w:sz w:val="28"/>
          <w:szCs w:val="28"/>
          <w:lang w:val="ru-RU"/>
        </w:rPr>
        <w:t xml:space="preserve"> Рустам </w:t>
      </w:r>
      <w:proofErr w:type="spellStart"/>
      <w:r w:rsidR="00CA2774" w:rsidRPr="00293EB6">
        <w:rPr>
          <w:sz w:val="28"/>
          <w:szCs w:val="28"/>
          <w:lang w:val="ru-RU"/>
        </w:rPr>
        <w:t>Нургалиевич</w:t>
      </w:r>
      <w:proofErr w:type="spellEnd"/>
      <w:r w:rsidR="00CA2774" w:rsidRPr="00293EB6">
        <w:rPr>
          <w:sz w:val="28"/>
          <w:szCs w:val="28"/>
          <w:lang w:val="ru-RU"/>
        </w:rPr>
        <w:t xml:space="preserve">, Первый заместитель Председателя Правительства Российской Федерации - министр финансов Российской Федерации </w:t>
      </w:r>
      <w:proofErr w:type="spellStart"/>
      <w:r w:rsidR="00CA2774" w:rsidRPr="00293EB6">
        <w:rPr>
          <w:sz w:val="28"/>
          <w:szCs w:val="28"/>
          <w:lang w:val="ru-RU"/>
        </w:rPr>
        <w:t>Силуанов</w:t>
      </w:r>
      <w:proofErr w:type="spellEnd"/>
      <w:r w:rsidR="00CA2774" w:rsidRPr="00293EB6">
        <w:rPr>
          <w:sz w:val="28"/>
          <w:szCs w:val="28"/>
          <w:lang w:val="ru-RU"/>
        </w:rPr>
        <w:t xml:space="preserve"> Антон Германович.</w:t>
      </w:r>
    </w:p>
    <w:p w:rsidR="00293EB6" w:rsidRDefault="00293EB6" w:rsidP="00293EB6">
      <w:pPr>
        <w:spacing w:line="288" w:lineRule="auto"/>
        <w:ind w:firstLine="709"/>
        <w:jc w:val="both"/>
        <w:rPr>
          <w:b/>
          <w:sz w:val="28"/>
          <w:szCs w:val="28"/>
          <w:lang w:val="ru-RU" w:eastAsia="ru-RU"/>
        </w:rPr>
      </w:pPr>
    </w:p>
    <w:p w:rsidR="00293EB6" w:rsidRDefault="00596712" w:rsidP="00293EB6">
      <w:pPr>
        <w:spacing w:line="288" w:lineRule="auto"/>
        <w:ind w:firstLine="709"/>
        <w:jc w:val="both"/>
        <w:rPr>
          <w:b/>
          <w:sz w:val="28"/>
          <w:szCs w:val="28"/>
          <w:lang w:val="ru-RU" w:eastAsia="ru-RU"/>
        </w:rPr>
      </w:pPr>
      <w:r w:rsidRPr="00293EB6">
        <w:rPr>
          <w:sz w:val="28"/>
          <w:szCs w:val="28"/>
          <w:lang w:val="tt-RU"/>
        </w:rPr>
        <w:t xml:space="preserve">Об </w:t>
      </w:r>
      <w:r w:rsidRPr="00293EB6">
        <w:rPr>
          <w:sz w:val="28"/>
          <w:szCs w:val="28"/>
          <w:lang w:val="ru-RU"/>
        </w:rPr>
        <w:t>исполнении</w:t>
      </w:r>
      <w:r w:rsidRPr="00293EB6">
        <w:rPr>
          <w:sz w:val="28"/>
          <w:szCs w:val="28"/>
          <w:lang w:val="ru-RU"/>
        </w:rPr>
        <w:t xml:space="preserve"> </w:t>
      </w:r>
      <w:r w:rsidRPr="00293EB6">
        <w:rPr>
          <w:b/>
          <w:sz w:val="28"/>
          <w:szCs w:val="28"/>
          <w:lang w:val="ru-RU"/>
        </w:rPr>
        <w:t>доходной части</w:t>
      </w:r>
      <w:r w:rsidRPr="00293EB6">
        <w:rPr>
          <w:sz w:val="28"/>
          <w:szCs w:val="28"/>
          <w:lang w:val="ru-RU"/>
        </w:rPr>
        <w:t xml:space="preserve"> консолидированного бюджета</w:t>
      </w:r>
      <w:r w:rsidRPr="00293EB6">
        <w:rPr>
          <w:sz w:val="28"/>
          <w:szCs w:val="28"/>
          <w:lang w:val="ru-RU"/>
        </w:rPr>
        <w:t xml:space="preserve">. </w:t>
      </w:r>
    </w:p>
    <w:p w:rsidR="00293EB6" w:rsidRDefault="00596712" w:rsidP="00293EB6">
      <w:pPr>
        <w:spacing w:line="288" w:lineRule="auto"/>
        <w:ind w:firstLine="709"/>
        <w:jc w:val="both"/>
        <w:rPr>
          <w:sz w:val="28"/>
          <w:szCs w:val="28"/>
          <w:lang w:val="ru-RU"/>
        </w:rPr>
      </w:pPr>
      <w:r w:rsidRPr="00293EB6">
        <w:rPr>
          <w:sz w:val="28"/>
          <w:szCs w:val="28"/>
          <w:lang w:val="ru-RU"/>
        </w:rPr>
        <w:t xml:space="preserve">При ожидаемом исполнении в целом на 316,4 млрд. рублей, налоговые и неналоговые доходы составят 273 млрд. рублей, или 101% к уточненному плану. В бюджет </w:t>
      </w:r>
      <w:r w:rsidRPr="00293EB6">
        <w:rPr>
          <w:b/>
          <w:sz w:val="28"/>
          <w:szCs w:val="28"/>
          <w:lang w:val="ru-RU"/>
        </w:rPr>
        <w:t xml:space="preserve">республики </w:t>
      </w:r>
      <w:r w:rsidRPr="00293EB6">
        <w:rPr>
          <w:sz w:val="28"/>
          <w:szCs w:val="28"/>
          <w:lang w:val="ru-RU"/>
        </w:rPr>
        <w:t xml:space="preserve">поступит 228,5 млрд. рублей. Оценка поступлений в </w:t>
      </w:r>
      <w:r w:rsidRPr="00293EB6">
        <w:rPr>
          <w:b/>
          <w:sz w:val="28"/>
          <w:szCs w:val="28"/>
          <w:lang w:val="ru-RU"/>
        </w:rPr>
        <w:t>местные</w:t>
      </w:r>
      <w:r w:rsidRPr="00293EB6">
        <w:rPr>
          <w:sz w:val="28"/>
          <w:szCs w:val="28"/>
          <w:lang w:val="ru-RU"/>
        </w:rPr>
        <w:t xml:space="preserve"> бюджеты составляет 44,5 млрд. рублей. </w:t>
      </w:r>
    </w:p>
    <w:p w:rsidR="00293EB6" w:rsidRDefault="00596712" w:rsidP="00293EB6">
      <w:pPr>
        <w:spacing w:line="288" w:lineRule="auto"/>
        <w:ind w:firstLine="709"/>
        <w:jc w:val="both"/>
        <w:rPr>
          <w:sz w:val="28"/>
          <w:szCs w:val="28"/>
          <w:lang w:val="ru-RU"/>
        </w:rPr>
      </w:pPr>
      <w:r w:rsidRPr="00293EB6">
        <w:rPr>
          <w:sz w:val="28"/>
          <w:szCs w:val="28"/>
          <w:lang w:val="ru-RU"/>
        </w:rPr>
        <w:t>П</w:t>
      </w:r>
      <w:r w:rsidRPr="00293EB6">
        <w:rPr>
          <w:sz w:val="28"/>
          <w:szCs w:val="28"/>
          <w:lang w:val="ru-RU"/>
        </w:rPr>
        <w:t>оступления</w:t>
      </w:r>
      <w:r w:rsidRPr="00293EB6">
        <w:rPr>
          <w:sz w:val="28"/>
          <w:szCs w:val="28"/>
          <w:lang w:val="ru-RU"/>
        </w:rPr>
        <w:t xml:space="preserve"> </w:t>
      </w:r>
      <w:r w:rsidRPr="00DC4349">
        <w:rPr>
          <w:b/>
          <w:sz w:val="28"/>
          <w:szCs w:val="28"/>
          <w:lang w:val="ru-RU"/>
        </w:rPr>
        <w:t>н</w:t>
      </w:r>
      <w:r w:rsidRPr="00293EB6">
        <w:rPr>
          <w:b/>
          <w:sz w:val="28"/>
          <w:szCs w:val="28"/>
          <w:lang w:val="ru-RU"/>
        </w:rPr>
        <w:t>алог</w:t>
      </w:r>
      <w:r w:rsidRPr="00293EB6">
        <w:rPr>
          <w:b/>
          <w:sz w:val="28"/>
          <w:szCs w:val="28"/>
          <w:lang w:val="ru-RU"/>
        </w:rPr>
        <w:t>а</w:t>
      </w:r>
      <w:r w:rsidRPr="00293EB6">
        <w:rPr>
          <w:b/>
          <w:sz w:val="28"/>
          <w:szCs w:val="28"/>
          <w:lang w:val="ru-RU"/>
        </w:rPr>
        <w:t xml:space="preserve"> на прибыль </w:t>
      </w:r>
      <w:r w:rsidRPr="00293EB6">
        <w:rPr>
          <w:sz w:val="28"/>
          <w:szCs w:val="28"/>
          <w:lang w:val="ru-RU"/>
        </w:rPr>
        <w:t xml:space="preserve">по году ожидаются в сумме 99,5 млрд. рублей. </w:t>
      </w:r>
    </w:p>
    <w:p w:rsidR="00293EB6" w:rsidRDefault="00596712" w:rsidP="00293EB6">
      <w:pPr>
        <w:spacing w:line="288" w:lineRule="auto"/>
        <w:ind w:firstLine="709"/>
        <w:jc w:val="both"/>
        <w:rPr>
          <w:sz w:val="28"/>
          <w:szCs w:val="28"/>
          <w:lang w:val="ru-RU"/>
        </w:rPr>
      </w:pPr>
      <w:r w:rsidRPr="00293EB6">
        <w:rPr>
          <w:sz w:val="28"/>
          <w:szCs w:val="28"/>
          <w:lang w:val="ru-RU"/>
        </w:rPr>
        <w:t>П</w:t>
      </w:r>
      <w:r w:rsidRPr="00293EB6">
        <w:rPr>
          <w:sz w:val="28"/>
          <w:szCs w:val="28"/>
          <w:lang w:val="ru-RU"/>
        </w:rPr>
        <w:t>о</w:t>
      </w:r>
      <w:r w:rsidRPr="00293EB6">
        <w:rPr>
          <w:sz w:val="28"/>
          <w:szCs w:val="28"/>
          <w:lang w:val="ru-RU"/>
        </w:rPr>
        <w:t xml:space="preserve"> </w:t>
      </w:r>
      <w:r w:rsidRPr="00293EB6">
        <w:rPr>
          <w:sz w:val="28"/>
          <w:szCs w:val="28"/>
          <w:lang w:val="ru-RU"/>
        </w:rPr>
        <w:t xml:space="preserve">итогам года ожидается мобилизация </w:t>
      </w:r>
      <w:r w:rsidRPr="00293EB6">
        <w:rPr>
          <w:sz w:val="28"/>
          <w:szCs w:val="28"/>
          <w:lang w:val="ru-RU"/>
        </w:rPr>
        <w:t>н</w:t>
      </w:r>
      <w:r w:rsidRPr="00293EB6">
        <w:rPr>
          <w:b/>
          <w:sz w:val="28"/>
          <w:szCs w:val="28"/>
          <w:lang w:val="ru-RU"/>
        </w:rPr>
        <w:t>алог</w:t>
      </w:r>
      <w:r w:rsidRPr="00293EB6">
        <w:rPr>
          <w:b/>
          <w:sz w:val="28"/>
          <w:szCs w:val="28"/>
          <w:lang w:val="ru-RU"/>
        </w:rPr>
        <w:t>а</w:t>
      </w:r>
      <w:r w:rsidRPr="00293EB6">
        <w:rPr>
          <w:b/>
          <w:sz w:val="28"/>
          <w:szCs w:val="28"/>
          <w:lang w:val="ru-RU"/>
        </w:rPr>
        <w:t xml:space="preserve"> на доходы физических лиц </w:t>
      </w:r>
      <w:r w:rsidRPr="00293EB6">
        <w:rPr>
          <w:sz w:val="28"/>
          <w:szCs w:val="28"/>
          <w:lang w:val="ru-RU"/>
        </w:rPr>
        <w:t xml:space="preserve">в размере 74,3 млрд. рублей, что составляет 101,5% к уточненному плану. </w:t>
      </w:r>
    </w:p>
    <w:p w:rsidR="00293EB6" w:rsidRDefault="00596712" w:rsidP="00293EB6">
      <w:pPr>
        <w:spacing w:line="288" w:lineRule="auto"/>
        <w:ind w:firstLine="709"/>
        <w:jc w:val="both"/>
        <w:rPr>
          <w:sz w:val="28"/>
          <w:szCs w:val="28"/>
          <w:lang w:val="ru-RU"/>
        </w:rPr>
      </w:pPr>
      <w:r w:rsidRPr="00293EB6">
        <w:rPr>
          <w:sz w:val="28"/>
          <w:szCs w:val="28"/>
          <w:lang w:val="ru-RU"/>
        </w:rPr>
        <w:t xml:space="preserve">Поступление </w:t>
      </w:r>
      <w:r w:rsidRPr="00293EB6">
        <w:rPr>
          <w:b/>
          <w:sz w:val="28"/>
          <w:szCs w:val="28"/>
          <w:lang w:val="ru-RU"/>
        </w:rPr>
        <w:t>акцизов</w:t>
      </w:r>
      <w:r w:rsidRPr="00293EB6">
        <w:rPr>
          <w:sz w:val="28"/>
          <w:szCs w:val="28"/>
          <w:lang w:val="ru-RU"/>
        </w:rPr>
        <w:t xml:space="preserve"> в консолидированный бюджет ожидается в сумме 31,4 млрд. рублей.</w:t>
      </w:r>
    </w:p>
    <w:p w:rsidR="00596712" w:rsidRPr="00293EB6" w:rsidRDefault="00596712" w:rsidP="00293EB6">
      <w:pPr>
        <w:spacing w:line="288" w:lineRule="auto"/>
        <w:ind w:firstLine="709"/>
        <w:jc w:val="both"/>
        <w:rPr>
          <w:sz w:val="28"/>
          <w:szCs w:val="28"/>
          <w:lang w:val="ru-RU"/>
        </w:rPr>
      </w:pPr>
      <w:r w:rsidRPr="00293EB6">
        <w:rPr>
          <w:sz w:val="28"/>
          <w:szCs w:val="28"/>
          <w:lang w:val="ru-RU"/>
        </w:rPr>
        <w:t>Мобилизация</w:t>
      </w:r>
      <w:r w:rsidRPr="00293EB6">
        <w:rPr>
          <w:b/>
          <w:sz w:val="28"/>
          <w:szCs w:val="28"/>
          <w:lang w:val="ru-RU"/>
        </w:rPr>
        <w:t xml:space="preserve"> налогов на совокупный доход</w:t>
      </w:r>
      <w:r w:rsidRPr="00293EB6">
        <w:rPr>
          <w:sz w:val="28"/>
          <w:szCs w:val="28"/>
          <w:lang w:val="ru-RU"/>
        </w:rPr>
        <w:t xml:space="preserve"> в консолидированный бюджет ожидается в сумме 10,7 </w:t>
      </w:r>
      <w:proofErr w:type="spellStart"/>
      <w:r w:rsidRPr="00293EB6">
        <w:rPr>
          <w:sz w:val="28"/>
          <w:szCs w:val="28"/>
          <w:lang w:val="ru-RU"/>
        </w:rPr>
        <w:t>млрд</w:t>
      </w:r>
      <w:proofErr w:type="gramStart"/>
      <w:r w:rsidRPr="00293EB6">
        <w:rPr>
          <w:sz w:val="28"/>
          <w:szCs w:val="28"/>
          <w:lang w:val="ru-RU"/>
        </w:rPr>
        <w:t>.р</w:t>
      </w:r>
      <w:proofErr w:type="gramEnd"/>
      <w:r w:rsidRPr="00293EB6">
        <w:rPr>
          <w:sz w:val="28"/>
          <w:szCs w:val="28"/>
          <w:lang w:val="ru-RU"/>
        </w:rPr>
        <w:t>ублей</w:t>
      </w:r>
      <w:proofErr w:type="spellEnd"/>
      <w:r w:rsidRPr="00293EB6">
        <w:rPr>
          <w:sz w:val="28"/>
          <w:szCs w:val="28"/>
          <w:lang w:val="ru-RU"/>
        </w:rPr>
        <w:t xml:space="preserve">, или 101,7 % к уточненному плану. </w:t>
      </w:r>
    </w:p>
    <w:p w:rsidR="00596712" w:rsidRPr="00293EB6" w:rsidRDefault="00596712" w:rsidP="00293EB6">
      <w:pPr>
        <w:tabs>
          <w:tab w:val="left" w:pos="2835"/>
        </w:tabs>
        <w:suppressAutoHyphens/>
        <w:spacing w:line="288" w:lineRule="auto"/>
        <w:ind w:right="-28" w:firstLine="567"/>
        <w:contextualSpacing/>
        <w:jc w:val="both"/>
        <w:rPr>
          <w:sz w:val="28"/>
          <w:szCs w:val="28"/>
          <w:lang w:val="ru-RU"/>
        </w:rPr>
      </w:pPr>
      <w:r w:rsidRPr="00293EB6">
        <w:rPr>
          <w:sz w:val="28"/>
          <w:szCs w:val="28"/>
          <w:lang w:val="ru-RU"/>
        </w:rPr>
        <w:lastRenderedPageBreak/>
        <w:t>Ожидаемая сумма поступлений</w:t>
      </w:r>
      <w:r w:rsidRPr="00293EB6">
        <w:rPr>
          <w:sz w:val="28"/>
          <w:szCs w:val="28"/>
          <w:lang w:val="ru-RU"/>
        </w:rPr>
        <w:t xml:space="preserve"> </w:t>
      </w:r>
      <w:r w:rsidRPr="00293EB6">
        <w:rPr>
          <w:b/>
          <w:sz w:val="28"/>
          <w:szCs w:val="28"/>
          <w:lang w:val="ru-RU"/>
        </w:rPr>
        <w:t>земельн</w:t>
      </w:r>
      <w:r w:rsidRPr="00293EB6">
        <w:rPr>
          <w:b/>
          <w:sz w:val="28"/>
          <w:szCs w:val="28"/>
          <w:lang w:val="ru-RU"/>
        </w:rPr>
        <w:t>ого</w:t>
      </w:r>
      <w:r w:rsidRPr="00293EB6">
        <w:rPr>
          <w:b/>
          <w:sz w:val="28"/>
          <w:szCs w:val="28"/>
          <w:lang w:val="ru-RU"/>
        </w:rPr>
        <w:t xml:space="preserve"> налог</w:t>
      </w:r>
      <w:r w:rsidRPr="00293EB6">
        <w:rPr>
          <w:b/>
          <w:sz w:val="28"/>
          <w:szCs w:val="28"/>
          <w:lang w:val="ru-RU"/>
        </w:rPr>
        <w:t>а</w:t>
      </w:r>
      <w:r w:rsidRPr="00293EB6">
        <w:rPr>
          <w:sz w:val="28"/>
          <w:szCs w:val="28"/>
          <w:lang w:val="ru-RU"/>
        </w:rPr>
        <w:t xml:space="preserve"> по итогам текущего года составляет 8,1 млрд. рублей или 102,3% к уточненному плану. </w:t>
      </w:r>
    </w:p>
    <w:p w:rsidR="00596712" w:rsidRPr="00293EB6" w:rsidRDefault="00596712" w:rsidP="00293EB6">
      <w:pPr>
        <w:tabs>
          <w:tab w:val="left" w:pos="0"/>
        </w:tabs>
        <w:suppressAutoHyphens/>
        <w:spacing w:line="288" w:lineRule="auto"/>
        <w:ind w:right="-28"/>
        <w:contextualSpacing/>
        <w:jc w:val="both"/>
        <w:rPr>
          <w:sz w:val="28"/>
          <w:szCs w:val="28"/>
          <w:lang w:val="ru-RU"/>
        </w:rPr>
      </w:pPr>
      <w:r w:rsidRPr="00293EB6">
        <w:rPr>
          <w:sz w:val="28"/>
          <w:szCs w:val="28"/>
          <w:lang w:val="ru-RU"/>
        </w:rPr>
        <w:tab/>
        <w:t xml:space="preserve">Поступление </w:t>
      </w:r>
      <w:r w:rsidRPr="00293EB6">
        <w:rPr>
          <w:b/>
          <w:sz w:val="28"/>
          <w:szCs w:val="28"/>
          <w:lang w:val="ru-RU"/>
        </w:rPr>
        <w:t>неналоговых доходов</w:t>
      </w:r>
      <w:r w:rsidRPr="00293EB6">
        <w:rPr>
          <w:sz w:val="28"/>
          <w:szCs w:val="28"/>
          <w:lang w:val="ru-RU"/>
        </w:rPr>
        <w:t xml:space="preserve"> в консолидированный бюджет Республики Татарстан за 2018 год ожидается в объеме 15 млрд. рублей, в бюджет республики – 8,8, в местные бюджеты - 6,2 млрд. рублей.</w:t>
      </w:r>
    </w:p>
    <w:p w:rsidR="00596712" w:rsidRPr="00293EB6" w:rsidRDefault="00596712" w:rsidP="00293EB6">
      <w:pPr>
        <w:suppressAutoHyphens/>
        <w:spacing w:line="288" w:lineRule="auto"/>
        <w:ind w:right="-30" w:firstLine="567"/>
        <w:jc w:val="both"/>
        <w:rPr>
          <w:sz w:val="28"/>
          <w:szCs w:val="28"/>
          <w:lang w:val="ru-RU"/>
        </w:rPr>
      </w:pPr>
    </w:p>
    <w:p w:rsidR="00596712" w:rsidRPr="00293EB6" w:rsidRDefault="00596712" w:rsidP="00293EB6">
      <w:pPr>
        <w:suppressAutoHyphens/>
        <w:spacing w:line="288" w:lineRule="auto"/>
        <w:ind w:right="-30" w:firstLine="567"/>
        <w:contextualSpacing/>
        <w:jc w:val="both"/>
        <w:rPr>
          <w:sz w:val="28"/>
          <w:szCs w:val="28"/>
          <w:lang w:val="ru-RU"/>
        </w:rPr>
      </w:pPr>
      <w:r w:rsidRPr="00293EB6">
        <w:rPr>
          <w:sz w:val="28"/>
          <w:szCs w:val="28"/>
          <w:lang w:val="ru-RU"/>
        </w:rPr>
        <w:t>О</w:t>
      </w:r>
      <w:r w:rsidRPr="00293EB6">
        <w:rPr>
          <w:sz w:val="28"/>
          <w:szCs w:val="28"/>
          <w:lang w:val="ru-RU"/>
        </w:rPr>
        <w:t>б</w:t>
      </w:r>
      <w:r w:rsidRPr="00293EB6">
        <w:rPr>
          <w:sz w:val="28"/>
          <w:szCs w:val="28"/>
          <w:lang w:val="ru-RU"/>
        </w:rPr>
        <w:t xml:space="preserve"> </w:t>
      </w:r>
      <w:r w:rsidRPr="00293EB6">
        <w:rPr>
          <w:sz w:val="28"/>
          <w:szCs w:val="28"/>
          <w:lang w:val="ru-RU"/>
        </w:rPr>
        <w:t xml:space="preserve">ожидаемом исполнении </w:t>
      </w:r>
      <w:r w:rsidRPr="00293EB6">
        <w:rPr>
          <w:b/>
          <w:sz w:val="28"/>
          <w:szCs w:val="28"/>
          <w:lang w:val="ru-RU"/>
        </w:rPr>
        <w:t>расходной части бюджета</w:t>
      </w:r>
      <w:r w:rsidRPr="00293EB6">
        <w:rPr>
          <w:sz w:val="28"/>
          <w:szCs w:val="28"/>
          <w:lang w:val="ru-RU"/>
        </w:rPr>
        <w:t xml:space="preserve"> за 2018 год. </w:t>
      </w:r>
    </w:p>
    <w:p w:rsidR="00596712" w:rsidRPr="00293EB6" w:rsidRDefault="00596712" w:rsidP="00293EB6">
      <w:pPr>
        <w:suppressAutoHyphens/>
        <w:spacing w:line="288" w:lineRule="auto"/>
        <w:ind w:right="-30" w:firstLine="567"/>
        <w:contextualSpacing/>
        <w:jc w:val="both"/>
        <w:rPr>
          <w:sz w:val="28"/>
          <w:szCs w:val="28"/>
          <w:lang w:val="ru-RU"/>
        </w:rPr>
      </w:pPr>
      <w:r w:rsidRPr="00293EB6">
        <w:rPr>
          <w:sz w:val="28"/>
          <w:szCs w:val="28"/>
          <w:lang w:val="ru-RU"/>
        </w:rPr>
        <w:t>Расходы консолидированного бюджета Республики Татарстан составят 329 млрд. рублей.  Расходы бюджета республики будут произведены в сумме 281,1 млрд. рублей. Расходы муниципальных образований -   90,8</w:t>
      </w:r>
      <w:r w:rsidRPr="00293EB6">
        <w:rPr>
          <w:color w:val="FF0000"/>
          <w:sz w:val="28"/>
          <w:szCs w:val="28"/>
          <w:lang w:val="ru-RU"/>
        </w:rPr>
        <w:t xml:space="preserve"> </w:t>
      </w:r>
      <w:r w:rsidRPr="00293EB6">
        <w:rPr>
          <w:sz w:val="28"/>
          <w:szCs w:val="28"/>
          <w:lang w:val="ru-RU"/>
        </w:rPr>
        <w:t>млрд. рублей.</w:t>
      </w:r>
    </w:p>
    <w:p w:rsidR="00596712" w:rsidRDefault="00596712" w:rsidP="00293EB6">
      <w:pPr>
        <w:suppressAutoHyphens/>
        <w:spacing w:line="288" w:lineRule="auto"/>
        <w:ind w:right="-30" w:firstLine="567"/>
        <w:jc w:val="both"/>
        <w:rPr>
          <w:sz w:val="28"/>
          <w:szCs w:val="28"/>
          <w:lang w:val="ru-RU"/>
        </w:rPr>
      </w:pPr>
      <w:r w:rsidRPr="00293EB6">
        <w:rPr>
          <w:sz w:val="28"/>
          <w:szCs w:val="28"/>
          <w:lang w:val="ru-RU"/>
        </w:rPr>
        <w:t>В рамках исполнения расходов в 2018 году основное место занимают первоочередные и социально-значимые н</w:t>
      </w:r>
      <w:bookmarkStart w:id="0" w:name="_GoBack"/>
      <w:bookmarkEnd w:id="0"/>
      <w:r w:rsidRPr="00293EB6">
        <w:rPr>
          <w:sz w:val="28"/>
          <w:szCs w:val="28"/>
          <w:lang w:val="ru-RU"/>
        </w:rPr>
        <w:t>аправления расходов. Текущий год характеризуется приоритетным направлением бюджетных средств на повышение заработной платы работников бюджетной сферы и реализацию широкомасштабных республиканских программ по развитию, модернизации и обновлению учреждений социально-культурной сферы, общественной инфраструктуры.</w:t>
      </w:r>
    </w:p>
    <w:p w:rsidR="00293EB6" w:rsidRPr="00293EB6" w:rsidRDefault="00293EB6" w:rsidP="00293EB6">
      <w:pPr>
        <w:suppressAutoHyphens/>
        <w:spacing w:line="288" w:lineRule="auto"/>
        <w:ind w:right="-30" w:firstLine="567"/>
        <w:jc w:val="both"/>
        <w:rPr>
          <w:i/>
          <w:iCs/>
          <w:sz w:val="28"/>
          <w:szCs w:val="28"/>
          <w:lang w:val="ru-RU"/>
        </w:rPr>
      </w:pPr>
    </w:p>
    <w:p w:rsidR="00596712" w:rsidRPr="00293EB6" w:rsidRDefault="00596712" w:rsidP="00293EB6">
      <w:pPr>
        <w:pStyle w:val="ac"/>
        <w:suppressAutoHyphens/>
        <w:spacing w:line="288" w:lineRule="auto"/>
        <w:ind w:right="-30" w:firstLine="567"/>
        <w:jc w:val="both"/>
        <w:rPr>
          <w:b/>
          <w:sz w:val="28"/>
          <w:szCs w:val="28"/>
        </w:rPr>
      </w:pPr>
      <w:r w:rsidRPr="00293EB6">
        <w:rPr>
          <w:sz w:val="28"/>
          <w:szCs w:val="28"/>
        </w:rPr>
        <w:t xml:space="preserve">О </w:t>
      </w:r>
      <w:r w:rsidRPr="00293EB6">
        <w:rPr>
          <w:b/>
          <w:sz w:val="28"/>
          <w:szCs w:val="28"/>
        </w:rPr>
        <w:t xml:space="preserve">работе по сокращению объемов незавершенного строительства. </w:t>
      </w:r>
    </w:p>
    <w:p w:rsidR="00596712" w:rsidRPr="00293EB6" w:rsidRDefault="00596712" w:rsidP="00293EB6">
      <w:pPr>
        <w:suppressAutoHyphens/>
        <w:spacing w:line="288" w:lineRule="auto"/>
        <w:ind w:right="-2" w:firstLine="567"/>
        <w:jc w:val="both"/>
        <w:rPr>
          <w:sz w:val="28"/>
          <w:szCs w:val="28"/>
          <w:lang w:val="ru-RU"/>
        </w:rPr>
      </w:pPr>
      <w:r w:rsidRPr="00293EB6">
        <w:rPr>
          <w:sz w:val="28"/>
          <w:szCs w:val="28"/>
          <w:lang w:val="ru-RU"/>
        </w:rPr>
        <w:t>На начало 2018 года объем финансовых вложений в объекты незавершенного строительства составлял 33,5</w:t>
      </w:r>
      <w:r w:rsidRPr="00293EB6">
        <w:rPr>
          <w:sz w:val="28"/>
          <w:szCs w:val="28"/>
        </w:rPr>
        <w:t> </w:t>
      </w:r>
      <w:r w:rsidRPr="00293EB6">
        <w:rPr>
          <w:sz w:val="28"/>
          <w:szCs w:val="28"/>
          <w:lang w:val="ru-RU"/>
        </w:rPr>
        <w:t xml:space="preserve">млрд. рублей. </w:t>
      </w:r>
    </w:p>
    <w:p w:rsidR="00596712" w:rsidRDefault="00596712" w:rsidP="00293EB6">
      <w:pPr>
        <w:suppressAutoHyphens/>
        <w:spacing w:line="288" w:lineRule="auto"/>
        <w:ind w:right="-2" w:firstLine="567"/>
        <w:jc w:val="both"/>
        <w:rPr>
          <w:sz w:val="28"/>
          <w:szCs w:val="28"/>
          <w:lang w:val="ru-RU"/>
        </w:rPr>
      </w:pPr>
      <w:r w:rsidRPr="00293EB6">
        <w:rPr>
          <w:sz w:val="28"/>
          <w:szCs w:val="28"/>
          <w:lang w:val="ru-RU"/>
        </w:rPr>
        <w:t xml:space="preserve">По состоянию на 1 декабря эти объемы сокращены до 16,4 млрд. рублей. </w:t>
      </w:r>
      <w:r w:rsidRPr="00293EB6">
        <w:rPr>
          <w:sz w:val="28"/>
          <w:szCs w:val="28"/>
        </w:rPr>
        <w:t xml:space="preserve">В </w:t>
      </w:r>
      <w:proofErr w:type="spellStart"/>
      <w:r w:rsidRPr="00293EB6">
        <w:rPr>
          <w:sz w:val="28"/>
          <w:szCs w:val="28"/>
        </w:rPr>
        <w:t>соответствии</w:t>
      </w:r>
      <w:proofErr w:type="spellEnd"/>
      <w:r w:rsidRPr="00293EB6">
        <w:rPr>
          <w:sz w:val="28"/>
          <w:szCs w:val="28"/>
        </w:rPr>
        <w:t xml:space="preserve"> с </w:t>
      </w:r>
      <w:proofErr w:type="spellStart"/>
      <w:r w:rsidRPr="00293EB6">
        <w:rPr>
          <w:sz w:val="28"/>
          <w:szCs w:val="28"/>
        </w:rPr>
        <w:t>утвержденными</w:t>
      </w:r>
      <w:proofErr w:type="spellEnd"/>
      <w:r w:rsidRPr="00293EB6">
        <w:rPr>
          <w:sz w:val="28"/>
          <w:szCs w:val="28"/>
        </w:rPr>
        <w:t xml:space="preserve"> планами на конец года объем уменьшится до 12</w:t>
      </w:r>
      <w:proofErr w:type="gramStart"/>
      <w:r w:rsidRPr="00293EB6">
        <w:rPr>
          <w:sz w:val="28"/>
          <w:szCs w:val="28"/>
        </w:rPr>
        <w:t>,1</w:t>
      </w:r>
      <w:proofErr w:type="gramEnd"/>
      <w:r w:rsidRPr="00293EB6">
        <w:rPr>
          <w:sz w:val="28"/>
          <w:szCs w:val="28"/>
        </w:rPr>
        <w:t xml:space="preserve"> млрд. </w:t>
      </w:r>
      <w:proofErr w:type="gramStart"/>
      <w:r w:rsidRPr="00293EB6">
        <w:rPr>
          <w:sz w:val="28"/>
          <w:szCs w:val="28"/>
        </w:rPr>
        <w:t>рублей</w:t>
      </w:r>
      <w:proofErr w:type="gramEnd"/>
      <w:r w:rsidRPr="00293EB6">
        <w:rPr>
          <w:sz w:val="28"/>
          <w:szCs w:val="28"/>
        </w:rPr>
        <w:t xml:space="preserve"> </w:t>
      </w:r>
      <w:proofErr w:type="spellStart"/>
      <w:r w:rsidRPr="00293EB6">
        <w:rPr>
          <w:sz w:val="28"/>
          <w:szCs w:val="28"/>
        </w:rPr>
        <w:t>или</w:t>
      </w:r>
      <w:proofErr w:type="spellEnd"/>
      <w:r w:rsidRPr="00293EB6">
        <w:rPr>
          <w:sz w:val="28"/>
          <w:szCs w:val="28"/>
        </w:rPr>
        <w:t xml:space="preserve"> </w:t>
      </w:r>
      <w:proofErr w:type="spellStart"/>
      <w:r w:rsidRPr="00293EB6">
        <w:rPr>
          <w:sz w:val="28"/>
          <w:szCs w:val="28"/>
        </w:rPr>
        <w:t>на</w:t>
      </w:r>
      <w:proofErr w:type="spellEnd"/>
      <w:r w:rsidRPr="00293EB6">
        <w:rPr>
          <w:sz w:val="28"/>
          <w:szCs w:val="28"/>
        </w:rPr>
        <w:t xml:space="preserve"> 70 </w:t>
      </w:r>
      <w:proofErr w:type="spellStart"/>
      <w:r w:rsidRPr="00293EB6">
        <w:rPr>
          <w:sz w:val="28"/>
          <w:szCs w:val="28"/>
        </w:rPr>
        <w:t>процентов</w:t>
      </w:r>
      <w:proofErr w:type="spellEnd"/>
      <w:r w:rsidRPr="00293EB6">
        <w:rPr>
          <w:sz w:val="28"/>
          <w:szCs w:val="28"/>
        </w:rPr>
        <w:t>.</w:t>
      </w:r>
    </w:p>
    <w:p w:rsidR="00293EB6" w:rsidRPr="00293EB6" w:rsidRDefault="00293EB6" w:rsidP="00293EB6">
      <w:pPr>
        <w:suppressAutoHyphens/>
        <w:spacing w:line="288" w:lineRule="auto"/>
        <w:ind w:right="-2" w:firstLine="567"/>
        <w:jc w:val="both"/>
        <w:rPr>
          <w:sz w:val="28"/>
          <w:szCs w:val="28"/>
          <w:lang w:val="ru-RU"/>
        </w:rPr>
      </w:pPr>
    </w:p>
    <w:p w:rsidR="00596712" w:rsidRPr="00293EB6" w:rsidRDefault="00596712" w:rsidP="00293EB6">
      <w:pPr>
        <w:suppressAutoHyphens/>
        <w:spacing w:line="288" w:lineRule="auto"/>
        <w:ind w:right="-30" w:firstLine="567"/>
        <w:jc w:val="both"/>
        <w:rPr>
          <w:sz w:val="28"/>
          <w:szCs w:val="28"/>
          <w:lang w:val="ru-RU"/>
        </w:rPr>
      </w:pPr>
      <w:r w:rsidRPr="00293EB6">
        <w:rPr>
          <w:sz w:val="28"/>
          <w:szCs w:val="28"/>
          <w:lang w:val="ru-RU"/>
        </w:rPr>
        <w:t xml:space="preserve">В рамках работы по обеспечению инвестиционной привлекательности республики в текущем году продолжалось взаимодействие с международными кредитными </w:t>
      </w:r>
      <w:r w:rsidRPr="00293EB6">
        <w:rPr>
          <w:b/>
          <w:bCs/>
          <w:sz w:val="28"/>
          <w:szCs w:val="28"/>
          <w:lang w:val="ru-RU"/>
        </w:rPr>
        <w:t xml:space="preserve">рейтинговыми агентствами </w:t>
      </w:r>
      <w:r w:rsidRPr="00293EB6">
        <w:rPr>
          <w:sz w:val="28"/>
          <w:szCs w:val="28"/>
          <w:lang w:val="ru-RU"/>
        </w:rPr>
        <w:t>«</w:t>
      </w:r>
      <w:proofErr w:type="spellStart"/>
      <w:r w:rsidRPr="00293EB6">
        <w:rPr>
          <w:sz w:val="28"/>
          <w:szCs w:val="28"/>
          <w:lang w:val="ru-RU"/>
        </w:rPr>
        <w:t>Фитч</w:t>
      </w:r>
      <w:proofErr w:type="spellEnd"/>
      <w:r w:rsidRPr="00293EB6">
        <w:rPr>
          <w:sz w:val="28"/>
          <w:szCs w:val="28"/>
          <w:lang w:val="ru-RU"/>
        </w:rPr>
        <w:t>» и «</w:t>
      </w:r>
      <w:proofErr w:type="spellStart"/>
      <w:r w:rsidRPr="00293EB6">
        <w:rPr>
          <w:sz w:val="28"/>
          <w:szCs w:val="28"/>
          <w:lang w:val="ru-RU"/>
        </w:rPr>
        <w:t>Мудис</w:t>
      </w:r>
      <w:proofErr w:type="spellEnd"/>
      <w:r w:rsidRPr="00293EB6">
        <w:rPr>
          <w:sz w:val="28"/>
          <w:szCs w:val="28"/>
          <w:lang w:val="ru-RU"/>
        </w:rPr>
        <w:t>»,</w:t>
      </w:r>
      <w:r w:rsidRPr="00293EB6">
        <w:rPr>
          <w:b/>
          <w:bCs/>
          <w:sz w:val="28"/>
          <w:szCs w:val="28"/>
          <w:lang w:val="ru-RU"/>
        </w:rPr>
        <w:t xml:space="preserve"> </w:t>
      </w:r>
      <w:r w:rsidRPr="00293EB6">
        <w:rPr>
          <w:sz w:val="28"/>
          <w:szCs w:val="28"/>
          <w:lang w:val="ru-RU"/>
        </w:rPr>
        <w:t xml:space="preserve">отечественными агентствами «АКРА» и «Эксперт». </w:t>
      </w:r>
      <w:proofErr w:type="gramStart"/>
      <w:r w:rsidRPr="00293EB6">
        <w:rPr>
          <w:sz w:val="28"/>
          <w:szCs w:val="28"/>
          <w:lang w:val="ru-RU"/>
        </w:rPr>
        <w:t xml:space="preserve">По оценке агентств, рейтинги республики находятся на одном из самых высоких уровней, на котором могут находиться рейтинги субъектов Российской Федерации. </w:t>
      </w:r>
      <w:proofErr w:type="gramEnd"/>
    </w:p>
    <w:p w:rsidR="00596712" w:rsidRDefault="00596712" w:rsidP="00293EB6">
      <w:pPr>
        <w:suppressAutoHyphens/>
        <w:spacing w:line="288" w:lineRule="auto"/>
        <w:ind w:right="-30" w:firstLine="567"/>
        <w:jc w:val="both"/>
        <w:rPr>
          <w:sz w:val="28"/>
          <w:szCs w:val="28"/>
          <w:lang w:val="ru-RU"/>
        </w:rPr>
      </w:pPr>
      <w:r w:rsidRPr="00293EB6">
        <w:rPr>
          <w:sz w:val="28"/>
          <w:szCs w:val="28"/>
          <w:lang w:val="ru-RU"/>
        </w:rPr>
        <w:t xml:space="preserve">Необходимо отметить, что высокий уровень кредитоспособности </w:t>
      </w:r>
      <w:proofErr w:type="gramStart"/>
      <w:r w:rsidRPr="00293EB6">
        <w:rPr>
          <w:sz w:val="28"/>
          <w:szCs w:val="28"/>
          <w:lang w:val="ru-RU"/>
        </w:rPr>
        <w:t>республики</w:t>
      </w:r>
      <w:proofErr w:type="gramEnd"/>
      <w:r w:rsidRPr="00293EB6">
        <w:rPr>
          <w:sz w:val="28"/>
          <w:szCs w:val="28"/>
          <w:lang w:val="ru-RU"/>
        </w:rPr>
        <w:t xml:space="preserve"> безусловно положительно отражается в том числе на степени инвестиционной привлекательности и, соответственно, инвестициях в экономику республики, что в свою очередь приводит к повышению </w:t>
      </w:r>
      <w:r w:rsidRPr="00293EB6">
        <w:rPr>
          <w:sz w:val="28"/>
          <w:szCs w:val="28"/>
          <w:lang w:val="ru-RU"/>
        </w:rPr>
        <w:lastRenderedPageBreak/>
        <w:t>налогооблагаемой базы и обеспечению поступлений доходов в бюджеты всех уровней.</w:t>
      </w:r>
    </w:p>
    <w:p w:rsidR="00293EB6" w:rsidRDefault="00293EB6" w:rsidP="00293EB6">
      <w:pPr>
        <w:suppressAutoHyphens/>
        <w:spacing w:line="288" w:lineRule="auto"/>
        <w:ind w:right="-30" w:firstLine="567"/>
        <w:jc w:val="both"/>
        <w:rPr>
          <w:sz w:val="28"/>
          <w:szCs w:val="28"/>
          <w:lang w:val="ru-RU"/>
        </w:rPr>
      </w:pPr>
    </w:p>
    <w:p w:rsidR="00293EB6" w:rsidRPr="00293EB6" w:rsidRDefault="00293EB6" w:rsidP="00293EB6">
      <w:pPr>
        <w:suppressAutoHyphens/>
        <w:spacing w:line="288" w:lineRule="auto"/>
        <w:ind w:right="-30" w:firstLine="567"/>
        <w:jc w:val="both"/>
        <w:rPr>
          <w:sz w:val="28"/>
          <w:szCs w:val="28"/>
          <w:lang w:val="ru-RU"/>
        </w:rPr>
      </w:pPr>
      <w:r w:rsidRPr="00293EB6">
        <w:rPr>
          <w:b/>
          <w:sz w:val="28"/>
          <w:szCs w:val="28"/>
          <w:lang w:val="ru-RU"/>
        </w:rPr>
        <w:t xml:space="preserve">О </w:t>
      </w:r>
      <w:r w:rsidRPr="00293EB6">
        <w:rPr>
          <w:b/>
          <w:sz w:val="28"/>
          <w:szCs w:val="28"/>
          <w:lang w:val="ru-RU"/>
        </w:rPr>
        <w:t>бюджет</w:t>
      </w:r>
      <w:r w:rsidRPr="00293EB6">
        <w:rPr>
          <w:b/>
          <w:sz w:val="28"/>
          <w:szCs w:val="28"/>
          <w:lang w:val="ru-RU"/>
        </w:rPr>
        <w:t>е</w:t>
      </w:r>
      <w:r w:rsidRPr="00293EB6">
        <w:rPr>
          <w:b/>
          <w:sz w:val="28"/>
          <w:szCs w:val="28"/>
          <w:lang w:val="ru-RU"/>
        </w:rPr>
        <w:t xml:space="preserve"> на 2019 год и плановый период 2020-2021 годов.</w:t>
      </w:r>
    </w:p>
    <w:p w:rsidR="00596712" w:rsidRDefault="00596712" w:rsidP="00293EB6">
      <w:pPr>
        <w:suppressAutoHyphens/>
        <w:spacing w:line="288" w:lineRule="auto"/>
        <w:ind w:right="-30" w:firstLine="567"/>
        <w:contextualSpacing/>
        <w:jc w:val="both"/>
        <w:rPr>
          <w:sz w:val="28"/>
          <w:szCs w:val="28"/>
          <w:lang w:val="ru-RU"/>
        </w:rPr>
      </w:pPr>
      <w:r w:rsidRPr="00293EB6">
        <w:rPr>
          <w:sz w:val="28"/>
          <w:szCs w:val="28"/>
          <w:lang w:val="ru-RU"/>
        </w:rPr>
        <w:t xml:space="preserve">Закон о бюджете Республики Татарстан </w:t>
      </w:r>
      <w:proofErr w:type="gramStart"/>
      <w:r w:rsidRPr="00293EB6">
        <w:rPr>
          <w:sz w:val="28"/>
          <w:szCs w:val="28"/>
          <w:lang w:val="ru-RU"/>
        </w:rPr>
        <w:t>подписан Президентом 21 ноября и опубликован</w:t>
      </w:r>
      <w:proofErr w:type="gramEnd"/>
      <w:r w:rsidRPr="00293EB6">
        <w:rPr>
          <w:sz w:val="28"/>
          <w:szCs w:val="28"/>
          <w:lang w:val="ru-RU"/>
        </w:rPr>
        <w:t xml:space="preserve"> в средствах массовой информации. Принято постановление Кабинета Министров о мерах по реализации Закона о бюджете.</w:t>
      </w:r>
    </w:p>
    <w:p w:rsidR="00293EB6" w:rsidRPr="00293EB6" w:rsidRDefault="00293EB6" w:rsidP="00293EB6">
      <w:pPr>
        <w:suppressAutoHyphens/>
        <w:spacing w:line="288" w:lineRule="auto"/>
        <w:ind w:right="-30" w:firstLine="567"/>
        <w:contextualSpacing/>
        <w:jc w:val="both"/>
        <w:rPr>
          <w:sz w:val="28"/>
          <w:szCs w:val="28"/>
          <w:lang w:val="ru-RU"/>
        </w:rPr>
      </w:pPr>
    </w:p>
    <w:p w:rsidR="00596712" w:rsidRDefault="00293EB6" w:rsidP="00293EB6">
      <w:pPr>
        <w:suppressAutoHyphens/>
        <w:spacing w:line="288" w:lineRule="auto"/>
        <w:ind w:right="-30" w:firstLine="567"/>
        <w:contextualSpacing/>
        <w:jc w:val="both"/>
        <w:rPr>
          <w:sz w:val="28"/>
          <w:szCs w:val="28"/>
          <w:lang w:val="ru-RU"/>
        </w:rPr>
      </w:pPr>
      <w:r w:rsidRPr="00293EB6">
        <w:rPr>
          <w:sz w:val="28"/>
          <w:szCs w:val="28"/>
          <w:lang w:val="ru-RU"/>
        </w:rPr>
        <w:t>О</w:t>
      </w:r>
      <w:r w:rsidR="00596712" w:rsidRPr="00293EB6">
        <w:rPr>
          <w:sz w:val="28"/>
          <w:szCs w:val="28"/>
          <w:lang w:val="ru-RU"/>
        </w:rPr>
        <w:t>дна</w:t>
      </w:r>
      <w:r w:rsidRPr="00293EB6">
        <w:rPr>
          <w:sz w:val="28"/>
          <w:szCs w:val="28"/>
          <w:lang w:val="ru-RU"/>
        </w:rPr>
        <w:t xml:space="preserve"> </w:t>
      </w:r>
      <w:r w:rsidR="00596712" w:rsidRPr="00293EB6">
        <w:rPr>
          <w:sz w:val="28"/>
          <w:szCs w:val="28"/>
          <w:lang w:val="ru-RU"/>
        </w:rPr>
        <w:t xml:space="preserve">из самых основных задач </w:t>
      </w:r>
      <w:r w:rsidRPr="00293EB6">
        <w:rPr>
          <w:b/>
          <w:sz w:val="28"/>
          <w:szCs w:val="28"/>
          <w:lang w:val="ru-RU"/>
        </w:rPr>
        <w:t xml:space="preserve">по исполнению бюджета в следующем году </w:t>
      </w:r>
      <w:r w:rsidR="00596712" w:rsidRPr="00293EB6">
        <w:rPr>
          <w:sz w:val="28"/>
          <w:szCs w:val="28"/>
          <w:lang w:val="ru-RU"/>
        </w:rPr>
        <w:t>– обеспеч</w:t>
      </w:r>
      <w:r w:rsidRPr="00293EB6">
        <w:rPr>
          <w:sz w:val="28"/>
          <w:szCs w:val="28"/>
          <w:lang w:val="ru-RU"/>
        </w:rPr>
        <w:t xml:space="preserve">ение </w:t>
      </w:r>
      <w:r w:rsidR="00596712" w:rsidRPr="00293EB6">
        <w:rPr>
          <w:sz w:val="28"/>
          <w:szCs w:val="28"/>
          <w:lang w:val="ru-RU"/>
        </w:rPr>
        <w:t>в течение года сбалансированност</w:t>
      </w:r>
      <w:r w:rsidRPr="00293EB6">
        <w:rPr>
          <w:sz w:val="28"/>
          <w:szCs w:val="28"/>
          <w:lang w:val="ru-RU"/>
        </w:rPr>
        <w:t>и</w:t>
      </w:r>
      <w:r w:rsidR="00596712" w:rsidRPr="00293EB6">
        <w:rPr>
          <w:sz w:val="28"/>
          <w:szCs w:val="28"/>
          <w:lang w:val="ru-RU"/>
        </w:rPr>
        <w:t xml:space="preserve"> бюджетов всех уровней.</w:t>
      </w:r>
    </w:p>
    <w:p w:rsidR="00293EB6" w:rsidRPr="00293EB6" w:rsidRDefault="00293EB6" w:rsidP="00293EB6">
      <w:pPr>
        <w:suppressAutoHyphens/>
        <w:spacing w:line="288" w:lineRule="auto"/>
        <w:ind w:right="-30" w:firstLine="567"/>
        <w:contextualSpacing/>
        <w:jc w:val="both"/>
        <w:rPr>
          <w:sz w:val="28"/>
          <w:szCs w:val="28"/>
          <w:lang w:val="ru-RU"/>
        </w:rPr>
      </w:pPr>
      <w:r w:rsidRPr="00293EB6">
        <w:rPr>
          <w:sz w:val="28"/>
          <w:szCs w:val="28"/>
          <w:lang w:val="ru-RU"/>
        </w:rPr>
        <w:t>Ф</w:t>
      </w:r>
      <w:r w:rsidRPr="00293EB6">
        <w:rPr>
          <w:sz w:val="28"/>
          <w:szCs w:val="28"/>
          <w:lang w:val="ru-RU"/>
        </w:rPr>
        <w:t>инансовы</w:t>
      </w:r>
      <w:r w:rsidRPr="00293EB6">
        <w:rPr>
          <w:sz w:val="28"/>
          <w:szCs w:val="28"/>
          <w:lang w:val="ru-RU"/>
        </w:rPr>
        <w:t>м</w:t>
      </w:r>
      <w:r w:rsidRPr="00293EB6">
        <w:rPr>
          <w:sz w:val="28"/>
          <w:szCs w:val="28"/>
          <w:lang w:val="ru-RU"/>
        </w:rPr>
        <w:t>, налоговы</w:t>
      </w:r>
      <w:r w:rsidRPr="00293EB6">
        <w:rPr>
          <w:sz w:val="28"/>
          <w:szCs w:val="28"/>
          <w:lang w:val="ru-RU"/>
        </w:rPr>
        <w:t>м</w:t>
      </w:r>
      <w:r w:rsidRPr="00293EB6">
        <w:rPr>
          <w:sz w:val="28"/>
          <w:szCs w:val="28"/>
          <w:lang w:val="ru-RU"/>
        </w:rPr>
        <w:t xml:space="preserve"> и казначейски</w:t>
      </w:r>
      <w:r w:rsidRPr="00293EB6">
        <w:rPr>
          <w:sz w:val="28"/>
          <w:szCs w:val="28"/>
          <w:lang w:val="ru-RU"/>
        </w:rPr>
        <w:t>м</w:t>
      </w:r>
      <w:r w:rsidRPr="00293EB6">
        <w:rPr>
          <w:sz w:val="28"/>
          <w:szCs w:val="28"/>
          <w:lang w:val="ru-RU"/>
        </w:rPr>
        <w:t xml:space="preserve"> орган</w:t>
      </w:r>
      <w:r w:rsidRPr="00293EB6">
        <w:rPr>
          <w:sz w:val="28"/>
          <w:szCs w:val="28"/>
          <w:lang w:val="ru-RU"/>
        </w:rPr>
        <w:t>ам</w:t>
      </w:r>
      <w:r w:rsidRPr="00293EB6">
        <w:rPr>
          <w:sz w:val="28"/>
          <w:szCs w:val="28"/>
          <w:lang w:val="ru-RU"/>
        </w:rPr>
        <w:t xml:space="preserve"> в оставшиеся дни текущего года </w:t>
      </w:r>
      <w:r w:rsidRPr="00293EB6">
        <w:rPr>
          <w:sz w:val="28"/>
          <w:szCs w:val="28"/>
          <w:lang w:val="ru-RU"/>
        </w:rPr>
        <w:t xml:space="preserve">необходимо </w:t>
      </w:r>
      <w:r w:rsidRPr="00293EB6">
        <w:rPr>
          <w:sz w:val="28"/>
          <w:szCs w:val="28"/>
          <w:lang w:val="ru-RU"/>
        </w:rPr>
        <w:t>организовать работу для качественного завершения бюджета 2018 года и своевременно сформировать бюджетные росписи на 2019 год.</w:t>
      </w:r>
    </w:p>
    <w:sectPr w:rsidR="00293EB6" w:rsidRPr="0029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FE8"/>
    <w:multiLevelType w:val="hybridMultilevel"/>
    <w:tmpl w:val="562064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98216D"/>
    <w:multiLevelType w:val="hybridMultilevel"/>
    <w:tmpl w:val="DD189EFA"/>
    <w:lvl w:ilvl="0" w:tplc="7A36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CA26AA"/>
    <w:multiLevelType w:val="hybridMultilevel"/>
    <w:tmpl w:val="F7866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AF"/>
    <w:rsid w:val="000A29E4"/>
    <w:rsid w:val="00187395"/>
    <w:rsid w:val="001A5A5B"/>
    <w:rsid w:val="001B413A"/>
    <w:rsid w:val="00276822"/>
    <w:rsid w:val="00293EB6"/>
    <w:rsid w:val="00362694"/>
    <w:rsid w:val="004A497B"/>
    <w:rsid w:val="004B238C"/>
    <w:rsid w:val="00523E78"/>
    <w:rsid w:val="00563DD8"/>
    <w:rsid w:val="00596712"/>
    <w:rsid w:val="005A747C"/>
    <w:rsid w:val="006303E8"/>
    <w:rsid w:val="00643218"/>
    <w:rsid w:val="00653B1D"/>
    <w:rsid w:val="006D66B3"/>
    <w:rsid w:val="0074172C"/>
    <w:rsid w:val="009265B5"/>
    <w:rsid w:val="009E4A53"/>
    <w:rsid w:val="00B234FF"/>
    <w:rsid w:val="00B769BB"/>
    <w:rsid w:val="00C02333"/>
    <w:rsid w:val="00C435EB"/>
    <w:rsid w:val="00CA2774"/>
    <w:rsid w:val="00D8105F"/>
    <w:rsid w:val="00DC4349"/>
    <w:rsid w:val="00DD2EAF"/>
    <w:rsid w:val="00EF3418"/>
    <w:rsid w:val="00F117E9"/>
    <w:rsid w:val="00F535D5"/>
    <w:rsid w:val="00F8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 w:type="paragraph" w:customStyle="1" w:styleId="1">
    <w:name w:val="Стиль1"/>
    <w:basedOn w:val="a"/>
    <w:link w:val="10"/>
    <w:qFormat/>
    <w:rsid w:val="00596712"/>
    <w:pPr>
      <w:spacing w:line="288" w:lineRule="auto"/>
    </w:pPr>
    <w:rPr>
      <w:sz w:val="28"/>
      <w:szCs w:val="20"/>
      <w:lang w:val="ru-RU" w:eastAsia="ru-RU"/>
    </w:rPr>
  </w:style>
  <w:style w:type="paragraph" w:customStyle="1" w:styleId="ac">
    <w:name w:val="мф рт"/>
    <w:basedOn w:val="a"/>
    <w:link w:val="ad"/>
    <w:qFormat/>
    <w:rsid w:val="00596712"/>
    <w:rPr>
      <w:sz w:val="20"/>
      <w:szCs w:val="20"/>
      <w:lang w:val="ru-RU" w:eastAsia="ru-RU"/>
    </w:rPr>
  </w:style>
  <w:style w:type="character" w:customStyle="1" w:styleId="ad">
    <w:name w:val="мф рт Знак"/>
    <w:basedOn w:val="a0"/>
    <w:link w:val="ac"/>
    <w:rsid w:val="00596712"/>
    <w:rPr>
      <w:rFonts w:ascii="Times New Roman" w:eastAsia="Times New Roman" w:hAnsi="Times New Roman" w:cs="Times New Roman"/>
      <w:sz w:val="20"/>
      <w:szCs w:val="20"/>
      <w:lang w:eastAsia="ru-RU"/>
    </w:rPr>
  </w:style>
  <w:style w:type="character" w:customStyle="1" w:styleId="10">
    <w:name w:val="Стиль1 Знак"/>
    <w:basedOn w:val="a0"/>
    <w:link w:val="1"/>
    <w:locked/>
    <w:rsid w:val="0059671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 w:type="paragraph" w:customStyle="1" w:styleId="1">
    <w:name w:val="Стиль1"/>
    <w:basedOn w:val="a"/>
    <w:link w:val="10"/>
    <w:qFormat/>
    <w:rsid w:val="00596712"/>
    <w:pPr>
      <w:spacing w:line="288" w:lineRule="auto"/>
    </w:pPr>
    <w:rPr>
      <w:sz w:val="28"/>
      <w:szCs w:val="20"/>
      <w:lang w:val="ru-RU" w:eastAsia="ru-RU"/>
    </w:rPr>
  </w:style>
  <w:style w:type="paragraph" w:customStyle="1" w:styleId="ac">
    <w:name w:val="мф рт"/>
    <w:basedOn w:val="a"/>
    <w:link w:val="ad"/>
    <w:qFormat/>
    <w:rsid w:val="00596712"/>
    <w:rPr>
      <w:sz w:val="20"/>
      <w:szCs w:val="20"/>
      <w:lang w:val="ru-RU" w:eastAsia="ru-RU"/>
    </w:rPr>
  </w:style>
  <w:style w:type="character" w:customStyle="1" w:styleId="ad">
    <w:name w:val="мф рт Знак"/>
    <w:basedOn w:val="a0"/>
    <w:link w:val="ac"/>
    <w:rsid w:val="00596712"/>
    <w:rPr>
      <w:rFonts w:ascii="Times New Roman" w:eastAsia="Times New Roman" w:hAnsi="Times New Roman" w:cs="Times New Roman"/>
      <w:sz w:val="20"/>
      <w:szCs w:val="20"/>
      <w:lang w:eastAsia="ru-RU"/>
    </w:rPr>
  </w:style>
  <w:style w:type="character" w:customStyle="1" w:styleId="10">
    <w:name w:val="Стиль1 Знак"/>
    <w:basedOn w:val="a0"/>
    <w:link w:val="1"/>
    <w:locked/>
    <w:rsid w:val="0059671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251">
      <w:bodyDiv w:val="1"/>
      <w:marLeft w:val="0"/>
      <w:marRight w:val="0"/>
      <w:marTop w:val="0"/>
      <w:marBottom w:val="0"/>
      <w:divBdr>
        <w:top w:val="none" w:sz="0" w:space="0" w:color="auto"/>
        <w:left w:val="none" w:sz="0" w:space="0" w:color="auto"/>
        <w:bottom w:val="none" w:sz="0" w:space="0" w:color="auto"/>
        <w:right w:val="none" w:sz="0" w:space="0" w:color="auto"/>
      </w:divBdr>
    </w:div>
    <w:div w:id="634216602">
      <w:bodyDiv w:val="1"/>
      <w:marLeft w:val="0"/>
      <w:marRight w:val="0"/>
      <w:marTop w:val="0"/>
      <w:marBottom w:val="0"/>
      <w:divBdr>
        <w:top w:val="none" w:sz="0" w:space="0" w:color="auto"/>
        <w:left w:val="none" w:sz="0" w:space="0" w:color="auto"/>
        <w:bottom w:val="none" w:sz="0" w:space="0" w:color="auto"/>
        <w:right w:val="none" w:sz="0" w:space="0" w:color="auto"/>
      </w:divBdr>
    </w:div>
    <w:div w:id="1069500323">
      <w:bodyDiv w:val="1"/>
      <w:marLeft w:val="0"/>
      <w:marRight w:val="0"/>
      <w:marTop w:val="0"/>
      <w:marBottom w:val="0"/>
      <w:divBdr>
        <w:top w:val="none" w:sz="0" w:space="0" w:color="auto"/>
        <w:left w:val="none" w:sz="0" w:space="0" w:color="auto"/>
        <w:bottom w:val="none" w:sz="0" w:space="0" w:color="auto"/>
        <w:right w:val="none" w:sz="0" w:space="0" w:color="auto"/>
      </w:divBdr>
    </w:div>
    <w:div w:id="1121148360">
      <w:bodyDiv w:val="1"/>
      <w:marLeft w:val="0"/>
      <w:marRight w:val="0"/>
      <w:marTop w:val="0"/>
      <w:marBottom w:val="0"/>
      <w:divBdr>
        <w:top w:val="none" w:sz="0" w:space="0" w:color="auto"/>
        <w:left w:val="none" w:sz="0" w:space="0" w:color="auto"/>
        <w:bottom w:val="none" w:sz="0" w:space="0" w:color="auto"/>
        <w:right w:val="none" w:sz="0" w:space="0" w:color="auto"/>
      </w:divBdr>
    </w:div>
    <w:div w:id="1247766099">
      <w:bodyDiv w:val="1"/>
      <w:marLeft w:val="0"/>
      <w:marRight w:val="0"/>
      <w:marTop w:val="0"/>
      <w:marBottom w:val="0"/>
      <w:divBdr>
        <w:top w:val="none" w:sz="0" w:space="0" w:color="auto"/>
        <w:left w:val="none" w:sz="0" w:space="0" w:color="auto"/>
        <w:bottom w:val="none" w:sz="0" w:space="0" w:color="auto"/>
        <w:right w:val="none" w:sz="0" w:space="0" w:color="auto"/>
      </w:divBdr>
    </w:div>
    <w:div w:id="14150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6E43-7887-41C3-B1E5-4E8ED3ED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30</cp:revision>
  <cp:lastPrinted>2018-12-12T07:41:00Z</cp:lastPrinted>
  <dcterms:created xsi:type="dcterms:W3CDTF">2017-04-21T07:18:00Z</dcterms:created>
  <dcterms:modified xsi:type="dcterms:W3CDTF">2018-12-13T10:59:00Z</dcterms:modified>
</cp:coreProperties>
</file>