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60C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делать? Версия Минфина</w:t>
      </w:r>
    </w:p>
    <w:bookmarkEnd w:id="0"/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Существенный прирост корпоративной прибыли за последние два года пока не нашел продолжения в виде инвестиционной активности. С одной стороны, бизнесу нужно время, чтобы поверить в устойчивость нового уровня прибыльности, и поэтому выросший денежный поток сначала направляется на погашение долга (что мы и наблюдали в последнее время). С другой – инвестор, принимая решение о старте того или иного проекта, всегда сравнивает соотношение прибыли и рисков. Очевидно, для обеспечения роста инвестиционной активности акцент экономической политики должен быть сделан на снижении рисков.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если взглянуть на макроэкономическую ситуацию, очевидно, что рисков сейчас меньше, чем год назад. И это касается как внутренней, так и внешней ситуации. </w:t>
      </w:r>
      <w:proofErr w:type="gram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на нефть вплотную подошли к отметке в $50 за баррель, рубль укрепился до уровней второго полугодия прошлого года, инфляция и доходность ОФЗ вернулись к уровням середины 2014 г. Однако в бюджетной сфере нам еще много надо сделать для достижения сбалансированности: пока для покрытия дефицита мы продолжаем расходовать средства суверенных фондов.</w:t>
      </w:r>
      <w:proofErr w:type="gramEnd"/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важна устойчивая и прогнозируемая макроэкономическая ситуация? Она обеспечивает предсказуемость ключевых параметров, лежащих в основе бизнес-планов компаний и предприятий. Речь не только о таких макроэкономических параметрах, как уровень инфляции, динамика спроса и т. д. Бизнесу важно понимать направление экономической политики, ориентироваться на конкретные ставки ключевых налогов, прогнозировать уровень процентных ставок. Центральные банки повышают процентные ставки, а министерства финансов заводят разговор о повышении налогов не от хорошей жизни, а только вследствие понимания уровня накопленных дисбалансов в экономической системе: растущих инфляционных ожиданий или структурного несоответствия доходных источников взятым обязательствам.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дать экономическим агентам необходимую определенность, все устойчиво растущие страны применяют политику инфляционного </w:t>
      </w:r>
      <w:proofErr w:type="spell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таргетирования</w:t>
      </w:r>
      <w:proofErr w:type="spell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заранее объявленными целями, имеют четкие и понятные траектории государственных финансов, а некоторые закладывают принципы бюджетной устойчивости даже в конституцию (например, Сингапур и Германия).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нам сейчас крайне важно в </w:t>
      </w:r>
      <w:proofErr w:type="gram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трехлетнего бюджета выйти на сбалансированную конструкцию.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задачи мы ставим при подготовке очередного трехлетнего бюджета с точки зрения макроэкономики? Прежде </w:t>
      </w:r>
      <w:proofErr w:type="gram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переход российской экономики к равновесию со стабильным ростом частных инвестиций и устойчивостью к колебаниям внешнеэкономической конъюнктуры. Для этого нужно выдерживать объявленные ориентиры бюджетной политики. Первое – это принятие долгосрочного бюджетного правила, позволяющего балансировать бюджет при нефтяных ценах на уровне $40–50 за баррель. Второе – это реализация программы среднесрочной бюджетной консолидации, которая существенно снизит риски неустойчивости экономической динамики и усиления инфляционного давления, тем самым обеспечив больше гибкости Банку России в вопросе допустимого смягчения денежно-кредитной политики.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других стран говорит, что в отличие от повышения налогов бюджетная консолидация за счет сокращения расходов при высоком уровне ключевой ставки </w:t>
      </w:r>
      <w:proofErr w:type="spell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центробанка</w:t>
      </w:r>
      <w:proofErr w:type="spell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оказывает положительное влияние на экономический рост. Однако оптимальный путь бюджетной консолидации для российской экономики предполагает не только жесткий подход к расходам. В нашем случае также важно уделять внимание увеличению доходных поступлений, связанных с повышением качества их администрирования и сокращением доли теневой экономики. Такие меры не только обеспечивают рост поступлений в бюджеты, но также выравнивают условия и способствуют честной конкуренции в экономике.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Министерство финансов в этой области проводит последовательную политику. В прошлом году большой эффект продемонстрировало использование новой системы администрирования НДС (прирост налоговых поступлений от введения АСК НДС-2 оценивается в 100–150 </w:t>
      </w:r>
      <w:proofErr w:type="gram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руб.). В этом году мы видим эффект от реализации комплекса законодательных и административных мер в сегменте алкогольного рынка – рост поступлений акцизов по крепкому алкоголю за апрель – май составил 38% к уровню прошлого года. Рост здесь наблюдается после снижения объема сборов в течение нескольких лет. Реализуемый проект по интеграции информационных систем налоговой и таможенной служб должен дать существенный рост поступлений по НДС на ввозимые товары уже в следующем году. Однако самый значительный сегмент потерь бюджетной системы – это сегмент серых зарплат. По различным оценкам, </w:t>
      </w:r>
      <w:proofErr w:type="spell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региональные бюджеты и бюджеты внебюджетных фондов могут составлять 1,5–2 </w:t>
      </w:r>
      <w:proofErr w:type="gram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трлн</w:t>
      </w:r>
      <w:proofErr w:type="gram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год. Конкретные решения в этой области еще предстоит выработать.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любые предложения изменить ситуацию воспринимаются настороженно. При этом растущие нефтяные цены подталкивают к мысли, что все нормализуется и без активных действий. Здесь необходимо понимать, что такой подход в </w:t>
      </w:r>
      <w:proofErr w:type="gram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продолжения роста нефтяных цен приведет нас обратно в равновесие 2013 г.: равновесие с неустойчивым экономическим ростом и угрозой экономического кризиса в случае падения нефтяных цен.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благоприятный сценарий на внешних рынках далеко не гарантирован. Очевиден целый ряд угроз. В краткосрочной перспективе это восстановление поставок нефти после краткосрочных перебоев добычи в целом ряде регионов (главный риск ближайших недель – восстановление поставок из канадской провинции Альберта) и риск перемены настроений на глобальных рынках из-за изменений либо прогнозов по росту американской экономики, либо ожиданий среднесрочной динамики ключевой ставки ФРС США. Серьезный среднесрочный риск – динамика китайской экономики. </w:t>
      </w: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китайским властям не удастся быстро перевести экономику на новые рельсы, то мы можем стать свидетелями жесткой посадки, которая станет испытанием для всей мировой экономики.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даже в </w:t>
      </w:r>
      <w:proofErr w:type="gramStart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реализации этих рисков удастся избежать, свернуть с магистрального пути развития мировой экономики вряд ли получится. Тренды здесь очевидны: развитие альтернативных источников энергии, автомобильного транспорта на электрическом приводе и новых способов промышленного производства – все это говорит о том, что в будущем нет места дорогой нефти.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чем раньше мы начнем адаптацию к этой реальности, тем устойчивее будет наше развитие.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CB9" w:rsidRPr="00260CB9" w:rsidRDefault="00260CB9" w:rsidP="00260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 – министр финансов России</w:t>
      </w:r>
    </w:p>
    <w:p w:rsidR="00673AB1" w:rsidRPr="00260CB9" w:rsidRDefault="00260CB9" w:rsidP="00260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Информация официального сайта Министерства финансов Российской Федерации: </w:t>
      </w:r>
      <w:hyperlink r:id="rId5" w:anchor="#ixzz4C6gXonET" w:history="1">
        <w:r w:rsidRPr="00260CB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http://minfin.ru/ru/##ixzz4C6gXonET</w:t>
        </w:r>
      </w:hyperlink>
    </w:p>
    <w:p w:rsidR="00260CB9" w:rsidRPr="00260CB9" w:rsidRDefault="00260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0CB9" w:rsidRPr="0026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B9"/>
    <w:rsid w:val="00260CB9"/>
    <w:rsid w:val="006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CB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0CB9"/>
    <w:rPr>
      <w:color w:val="5BA149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6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0C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CB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0CB9"/>
    <w:rPr>
      <w:color w:val="5BA149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6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0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fin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Гапсаламова Диляра Камилевна</dc:creator>
  <cp:lastModifiedBy>Минфин РТ - Гапсаламова Диляра Камилевна</cp:lastModifiedBy>
  <cp:revision>1</cp:revision>
  <dcterms:created xsi:type="dcterms:W3CDTF">2016-06-20T08:36:00Z</dcterms:created>
  <dcterms:modified xsi:type="dcterms:W3CDTF">2016-06-20T08:37:00Z</dcterms:modified>
</cp:coreProperties>
</file>