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2" w:rsidRDefault="009D5372" w:rsidP="009D5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Антикоррупционный вестник за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4-8 февраля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bookmarkEnd w:id="0"/>
    <w:p w:rsidR="009D5372" w:rsidRDefault="009D5372" w:rsidP="009D537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5372" w:rsidRDefault="009D5372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 xml:space="preserve">Суд лишил мандатов пятерых депутатов в Омской области 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По данным прокуратуры, ряд депутатов Советов сельских поселений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Седельниковского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муниципального района не исполнили обязанность по предоставлению сведений о доходах</w:t>
      </w: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>ОМСК, 4 февраля. /ТАСС/.</w:t>
      </w:r>
      <w:r w:rsidRPr="00641985">
        <w:rPr>
          <w:rFonts w:ascii="Times New Roman" w:hAnsi="Times New Roman" w:cs="Times New Roman"/>
          <w:sz w:val="28"/>
          <w:szCs w:val="28"/>
        </w:rPr>
        <w:t xml:space="preserve"> В Омской области суд лишил мандатов пятерых депутатов по иску прокуратуры. Они нарушили требования закона о противодействии коррупции, </w:t>
      </w:r>
      <w:hyperlink r:id="rId5" w:tgtFrame="_blank" w:history="1">
        <w:r w:rsidRPr="00641985">
          <w:rPr>
            <w:rStyle w:val="a5"/>
            <w:rFonts w:ascii="Times New Roman" w:hAnsi="Times New Roman" w:cs="Times New Roman"/>
            <w:sz w:val="28"/>
            <w:szCs w:val="28"/>
          </w:rPr>
          <w:t>сообщается</w:t>
        </w:r>
      </w:hyperlink>
      <w:r w:rsidRPr="00641985">
        <w:rPr>
          <w:rFonts w:ascii="Times New Roman" w:hAnsi="Times New Roman" w:cs="Times New Roman"/>
          <w:sz w:val="28"/>
          <w:szCs w:val="28"/>
        </w:rPr>
        <w:t xml:space="preserve"> в понедельник на сайте прокуратуры Омской области.</w:t>
      </w: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"Ряд депутатов Советов сельских поселений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Седельниковского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муниципального района не исполнили обязанность по предоставлению сведений о доходах, расходах, об имуществе и обязательствах имущественного характера за 2017 год", - сообщает ведомство о результатах прокурорской проверки.</w:t>
      </w: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После вынесенных представлений 12 депутатов предоставили недостающие сведения, один депутат принял решение о досрочной отставке, еще пятерых депутатов, проигнорировавших обращение прокуратуры, мандатов лишил суд.</w:t>
      </w: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Обязанность декларировать доходы, имущество и обязательства имущественного характера для публичных должностных лиц и членов их семей была установлена ст. 8 закона от 25 декабря 2008 г. "О противодействии коррупции.</w:t>
      </w:r>
    </w:p>
    <w:p w:rsidR="00D8105F" w:rsidRDefault="00D8105F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>Дело о коррупции возбуждено против директора псковской ОЭЗ "</w:t>
      </w:r>
      <w:proofErr w:type="spellStart"/>
      <w:r w:rsidRPr="00641985">
        <w:rPr>
          <w:rFonts w:ascii="Times New Roman" w:hAnsi="Times New Roman" w:cs="Times New Roman"/>
          <w:b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Дело в отношении Ольги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, как сообщили в администрации Псковской области, возбудило региональное управление ФСБ 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lastRenderedPageBreak/>
        <w:t>ПСКОВ, 5 февраля. /ТАСС/.</w:t>
      </w:r>
      <w:r w:rsidRPr="00641985">
        <w:rPr>
          <w:rFonts w:ascii="Times New Roman" w:hAnsi="Times New Roman" w:cs="Times New Roman"/>
          <w:sz w:val="28"/>
          <w:szCs w:val="28"/>
        </w:rPr>
        <w:t xml:space="preserve"> Уголовное дело возбуждено против директора псковской особой экономической зоны (ОЭЗ)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" Ольги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, сообщила пресс-служба администрации Псковской области.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"Решением совета директоров от 5 февраля Ольга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985">
        <w:rPr>
          <w:rFonts w:ascii="Times New Roman" w:hAnsi="Times New Roman" w:cs="Times New Roman"/>
          <w:sz w:val="28"/>
          <w:szCs w:val="28"/>
        </w:rPr>
        <w:t>освобождена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 от занимаемой должности генерального директора 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". Управлением ФСБ России по Псковской области в отношении нее возбуждено уголовное дело "по коррупционной составляющей", - говорится в сообщении.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85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 обязанности гендиректора 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" назначен Олег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Бедских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, ранее занимавший должность заместителя главы управляющей компании, отмечается в сообщении.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Как пояснили ТА</w:t>
      </w:r>
      <w:proofErr w:type="gramStart"/>
      <w:r w:rsidRPr="00641985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есс-службе УФСБ по Псковской области, дело против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возбуждено по ст. 285 УК РФ (использование должностным лицом своих служебных полномочий из корыстной или личной заинтересованности). "Остальные подробности не сообщаются, идет следствие", - сказал собеседник агентства.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Максимальная санкция данной статьи предусматривает лишение свободы на срок до четырех лет.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Председатель совета директоров 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", заместитель губернатора Псковской области Нинель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Салагаева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сообщила журналистам, что дело, возбужденное в отношении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, не связано с деятельностью администрации региона. "Ситуация с экс-генеральным директором 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" связана с лоббированием интересов аффилированных с ней коммерческих структур в корыстных целях при заключении контрактов ОЭЗ и не имеет отношения к деятельности администрации Псковской области как в предыдущий, так и нынешний период", - сказала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Салагаева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возглавляла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" с 2012 года, до этого работала в органах исполнительной власти региона, где занимала должность советника вице-губернатора, была первым зампредседателя Госкомитета Псковской области по имущественным отношениям.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"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ОЭЗ 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" - единственная в Северо-Западном федеральном округе экономическая зона промышленн</w:t>
      </w:r>
      <w:proofErr w:type="gramStart"/>
      <w:r w:rsidRPr="006419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 производственного типа, расположенная в 45 км от границы с Евросоюзом. Она создана в июле 2012 года на территории в 215 га, сейчас резидентами зоны являются 10 российских и </w:t>
      </w:r>
      <w:r w:rsidRPr="00641985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компаний, которые планируют запустить производства с общим объемом инвестиций более 4,5 </w:t>
      </w:r>
      <w:proofErr w:type="gramStart"/>
      <w:r w:rsidRPr="0064198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" занимает седьмую строчку в Национальном рейтинге инвестиционной привлекательности особых экономических зон (ОЭЗ) России, разработанном Ассоциацией развития кластеров и технопарков РФ.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>Горнодобывающая отрасль Киргизии погрязла в коррупции, считают в Бишкеке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6 февраля, 07:32</w:t>
      </w:r>
    </w:p>
    <w:p w:rsid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F155D1" wp14:editId="4F75DFE2">
            <wp:extent cx="5114738" cy="2874873"/>
            <wp:effectExtent l="0" t="0" r="0" b="1905"/>
            <wp:docPr id="1" name="Рисунок 1" descr="Высокогорный рудник Кумтор в Иссык-Кульской области Киргизии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окогорный рудник Кумтор в Иссык-Кульской области Киргизии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70" cy="28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Кадырбеков</w:t>
      </w:r>
      <w:proofErr w:type="spellEnd"/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 xml:space="preserve">БИШКЕК, 6 </w:t>
      </w:r>
      <w:proofErr w:type="spellStart"/>
      <w:r w:rsidRPr="00641985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641985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641985">
        <w:rPr>
          <w:rFonts w:ascii="Times New Roman" w:hAnsi="Times New Roman" w:cs="Times New Roman"/>
          <w:sz w:val="28"/>
          <w:szCs w:val="28"/>
        </w:rPr>
        <w:t xml:space="preserve"> Горнодобывающая отрасль и вся сфера недропользования Киргизии погрязла в коррупции, говорится в решении Совета безопасности страны "О мерах по обеспечению безопасности в сфере недропользования Кыргызской Республики", которое в среду подписал президент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Сооронбай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Жээнбеков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В документе обозначены проблемы сферы. Так, одной из основных проблем отрасли Совет безопасности назвал "коррупцию, глубоко проникшую в отдельные уполномоченные государственные органы в сфере </w:t>
      </w:r>
      <w:r w:rsidRPr="00641985">
        <w:rPr>
          <w:rFonts w:ascii="Times New Roman" w:hAnsi="Times New Roman" w:cs="Times New Roman"/>
          <w:sz w:val="28"/>
          <w:szCs w:val="28"/>
        </w:rPr>
        <w:lastRenderedPageBreak/>
        <w:t>недропользования и горнодобывающем секторе, особенно в лицензионно-разрешительной системе".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Упомянуты и такие нерешенные вопросы, как "протестные настроения местного населения, сложившиеся на производственных объектах горнодобывающей отрасли из-за недостатка информированности о выгодах проекта по развитию территории" и "вмешательство местных органов власти в деятельность инвесторов, в том числе путем создания искусственных и бюрократических препятствий при получении доступа к земельным участкам на месторождениях".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Совет безопасности предлагает и решения. По мнению совещательного органа, решить проблемы поможет "выработка действенных механизмов, направленных на привлечение внутренних и внешних инвестиций в сферу недропользования страны".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Также необходимо "обеспечить горнодобывающим компаниям беспрепятственный доступ к разрабатываемым месторождениям" и "с выездом на места провести агитационные и разъяснительные работы среди местного населения о недопустимости организации беспорядков и приостановления деятельности горнодобывающих компаний", говорится в документе.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Разработка месторождений в Киргизии неоднократно становилась причиной митингов и беспорядков. Так 5 ноября прошлого года на территории месторождения произошел инцидент между местными жителями и охранниками, во </w:t>
      </w:r>
      <w:proofErr w:type="gramStart"/>
      <w:r w:rsidRPr="0064198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41985">
        <w:rPr>
          <w:rFonts w:ascii="Times New Roman" w:hAnsi="Times New Roman" w:cs="Times New Roman"/>
          <w:sz w:val="28"/>
          <w:szCs w:val="28"/>
        </w:rPr>
        <w:t xml:space="preserve"> которого сельчане избили двух сотрудников милиции. По данному факту было возбуждено уголовное дело. В начале декабря правоохранительные органы задержали 15 жителей поселка Терек-Сай, участвовавших в беспорядках, это спровоцировало волну недовольства среди их односельчан, которые требовали освободить арестованных.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В 2013-14 годах жители близлежащих сел Киргизии организовали массовые беспорядки во время митингов против разработки канадскими инвесторами крупнейшего в республике золотого месторождения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Кумтор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. В октябре 2013 жители Кадамджайского района Киргизии разгромили офис австралийской "Z-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", владеющей лицензией на месторождение золота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Шамбесай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области на юге республики, требуя остановить разработку рудника. В сентябре прошлого года местные жители напали на китайских инвесторов, прибывших на осмотр месторождения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Шамбесай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>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lastRenderedPageBreak/>
        <w:t>В Дагестане 31 чиновника привлекли к уголовной ответственности в 2018 году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7 февраля, 16:12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 xml:space="preserve">МАХАЧКАЛА, 7 </w:t>
      </w:r>
      <w:proofErr w:type="spellStart"/>
      <w:r w:rsidRPr="00641985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641985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641985">
        <w:rPr>
          <w:rFonts w:ascii="Times New Roman" w:hAnsi="Times New Roman" w:cs="Times New Roman"/>
          <w:sz w:val="28"/>
          <w:szCs w:val="28"/>
        </w:rPr>
        <w:t xml:space="preserve"> Более 30 высокопоставленных чиновников привлечены к уголовной ответственности в Дагестане в рамках борьбы с коррупцией, заявил руководитель республиканского следственного управления Сергей Дубровин.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"Уголовной ответственности привлечено 31 должностное лицо, обладающее особым правовым статусом – это главы городов, районов, сельских поселений, депутаты разного уровня. В отношении 24 таких лиц уголовные дела направлены в суд. Правоохранительные органы и руководство республики считают борьбу с коррупцией одной из основных задач", - сказал Дубровин на расширенном заседании коллегии следственного управления Следственного комитета РФ по республике, где были подведены итоги работы за 2018 год.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По его словам, не менее важным направлением деятельности следственного управления является обеспечение эффективной защиты детей от преступных посягательств и предотвращение их участия в противоправной деятельности.</w:t>
      </w:r>
    </w:p>
    <w:p w:rsid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85" w:rsidRPr="00641985" w:rsidRDefault="00641985" w:rsidP="00641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>США связали коррупцию в Центральной Европе с ростом влияния России и Китая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8 февраля, 19:27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B70F1F9" wp14:editId="56FFA8AF">
            <wp:extent cx="5179161" cy="2917991"/>
            <wp:effectExtent l="0" t="0" r="2540" b="0"/>
            <wp:docPr id="5" name="Рисунок 5" descr="Здание Госдепартамента США в Вашинг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ание Госдепартамента США в Вашингто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65" cy="2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© AP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/ J.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Scott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Applewhite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File</w:t>
      </w:r>
      <w:proofErr w:type="spellEnd"/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b/>
          <w:sz w:val="28"/>
          <w:szCs w:val="28"/>
        </w:rPr>
        <w:t xml:space="preserve">ВАШИНГТОН, 8 </w:t>
      </w:r>
      <w:proofErr w:type="spellStart"/>
      <w:r w:rsidRPr="00641985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641985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641985">
        <w:rPr>
          <w:rFonts w:ascii="Times New Roman" w:hAnsi="Times New Roman" w:cs="Times New Roman"/>
          <w:sz w:val="28"/>
          <w:szCs w:val="28"/>
        </w:rPr>
        <w:t xml:space="preserve"> Соединенные Штаты предложат странам Центральной Европы поддержку в изучении связи коррупции с российским влиянием в этом регионе, заявил в пятницу журналистам высокопоставленный представитель госдепартамента.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 xml:space="preserve">Госсекретарь США Майк </w:t>
      </w:r>
      <w:proofErr w:type="spellStart"/>
      <w:r w:rsidRPr="00641985">
        <w:rPr>
          <w:rFonts w:ascii="Times New Roman" w:hAnsi="Times New Roman" w:cs="Times New Roman"/>
          <w:sz w:val="28"/>
          <w:szCs w:val="28"/>
        </w:rPr>
        <w:t>Помпео</w:t>
      </w:r>
      <w:proofErr w:type="spellEnd"/>
      <w:r w:rsidRPr="00641985">
        <w:rPr>
          <w:rFonts w:ascii="Times New Roman" w:hAnsi="Times New Roman" w:cs="Times New Roman"/>
          <w:sz w:val="28"/>
          <w:szCs w:val="28"/>
        </w:rPr>
        <w:t xml:space="preserve"> 11-15 февраля посетит Венгрию, Словакию, Польшу, Бельгию и Исландию.</w:t>
      </w:r>
    </w:p>
    <w:p w:rsidR="00641985" w:rsidRPr="00641985" w:rsidRDefault="00641985" w:rsidP="006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5">
        <w:rPr>
          <w:rFonts w:ascii="Times New Roman" w:hAnsi="Times New Roman" w:cs="Times New Roman"/>
          <w:sz w:val="28"/>
          <w:szCs w:val="28"/>
        </w:rPr>
        <w:t>"Немалая часть нашей обеспокоенности связана с масштабами коррупции в Центральной Европе, включая Венгрию. Проблема коррупции создает каналы для влияния России и Китая. На самом деле сложно отделить два этих вопроса. И одна из инициатив, которые мы предложим, будет заключаться в поддержке со стороны США усилий по более пристальному изучению пересечения коррупции и российского и китайского влияния", - сказал он.</w:t>
      </w:r>
    </w:p>
    <w:p w:rsidR="009D5372" w:rsidRPr="00641985" w:rsidRDefault="009D5372" w:rsidP="0064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372" w:rsidRDefault="009D5372"/>
    <w:sectPr w:rsidR="009D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2"/>
    <w:rsid w:val="00315662"/>
    <w:rsid w:val="003A0B22"/>
    <w:rsid w:val="0045055D"/>
    <w:rsid w:val="00641985"/>
    <w:rsid w:val="009D5372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okuratura.omsk.ru/news/82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2019-02-20T12:55:00Z</dcterms:created>
  <dcterms:modified xsi:type="dcterms:W3CDTF">2019-02-20T13:24:00Z</dcterms:modified>
</cp:coreProperties>
</file>