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1" w:type="dxa"/>
        <w:tblLook w:val="01E0"/>
      </w:tblPr>
      <w:tblGrid>
        <w:gridCol w:w="1696"/>
        <w:gridCol w:w="1122"/>
        <w:gridCol w:w="874"/>
        <w:gridCol w:w="1276"/>
        <w:gridCol w:w="257"/>
        <w:gridCol w:w="1275"/>
        <w:gridCol w:w="172"/>
        <w:gridCol w:w="706"/>
        <w:gridCol w:w="2823"/>
      </w:tblGrid>
      <w:tr w:rsidR="0016014B" w:rsidTr="00B13ED5">
        <w:trPr>
          <w:trHeight w:val="174"/>
        </w:trPr>
        <w:tc>
          <w:tcPr>
            <w:tcW w:w="6500" w:type="dxa"/>
            <w:gridSpan w:val="6"/>
            <w:vAlign w:val="center"/>
          </w:tcPr>
          <w:p w:rsidR="0016014B" w:rsidRPr="00083D31" w:rsidRDefault="0016014B" w:rsidP="00B13ED5"/>
        </w:tc>
        <w:tc>
          <w:tcPr>
            <w:tcW w:w="3701" w:type="dxa"/>
            <w:gridSpan w:val="3"/>
            <w:vAlign w:val="center"/>
          </w:tcPr>
          <w:p w:rsidR="0016014B" w:rsidRDefault="0016014B" w:rsidP="00B13ED5">
            <w:pPr>
              <w:ind w:left="-2628"/>
            </w:pPr>
          </w:p>
        </w:tc>
      </w:tr>
      <w:tr w:rsidR="0016014B" w:rsidTr="00B13ED5">
        <w:trPr>
          <w:trHeight w:val="1692"/>
        </w:trPr>
        <w:tc>
          <w:tcPr>
            <w:tcW w:w="1696" w:type="dxa"/>
            <w:vAlign w:val="center"/>
          </w:tcPr>
          <w:p w:rsidR="0016014B" w:rsidRPr="00D27AF1" w:rsidRDefault="0016014B" w:rsidP="00B13ED5">
            <w:pPr>
              <w:pStyle w:val="af1"/>
            </w:pPr>
          </w:p>
        </w:tc>
        <w:tc>
          <w:tcPr>
            <w:tcW w:w="8505" w:type="dxa"/>
            <w:gridSpan w:val="8"/>
            <w:vAlign w:val="center"/>
          </w:tcPr>
          <w:p w:rsidR="0016014B" w:rsidRDefault="0016014B" w:rsidP="00B13ED5">
            <w:pPr>
              <w:pStyle w:val="af1"/>
              <w:jc w:val="left"/>
            </w:pPr>
          </w:p>
          <w:p w:rsidR="0016014B" w:rsidRDefault="0016014B" w:rsidP="00B13ED5">
            <w:pPr>
              <w:pStyle w:val="af1"/>
              <w:jc w:val="left"/>
            </w:pPr>
          </w:p>
          <w:p w:rsidR="0016014B" w:rsidRPr="00D27AF1" w:rsidRDefault="0016014B" w:rsidP="00A3197A">
            <w:pPr>
              <w:pStyle w:val="af1"/>
              <w:jc w:val="left"/>
            </w:pPr>
            <w:r>
              <w:t xml:space="preserve">              </w:t>
            </w:r>
            <w:r w:rsidR="00A3197A">
              <w:t>ОО</w:t>
            </w:r>
            <w:r>
              <w:t>О «</w:t>
            </w:r>
            <w:r w:rsidR="00A3197A">
              <w:t xml:space="preserve">Бюджет </w:t>
            </w:r>
            <w:proofErr w:type="spellStart"/>
            <w:r w:rsidR="00A3197A">
              <w:t>онлайн</w:t>
            </w:r>
            <w:proofErr w:type="spellEnd"/>
            <w:r>
              <w:t>»</w:t>
            </w:r>
          </w:p>
        </w:tc>
      </w:tr>
      <w:tr w:rsidR="0016014B" w:rsidTr="00B13ED5">
        <w:trPr>
          <w:trHeight w:val="2142"/>
        </w:trPr>
        <w:tc>
          <w:tcPr>
            <w:tcW w:w="4968" w:type="dxa"/>
            <w:gridSpan w:val="4"/>
            <w:vAlign w:val="center"/>
          </w:tcPr>
          <w:p w:rsidR="0016014B" w:rsidRDefault="0016014B" w:rsidP="00B13ED5"/>
        </w:tc>
        <w:tc>
          <w:tcPr>
            <w:tcW w:w="5233" w:type="dxa"/>
            <w:gridSpan w:val="5"/>
            <w:vAlign w:val="center"/>
          </w:tcPr>
          <w:p w:rsidR="0016014B" w:rsidRDefault="0016014B" w:rsidP="00B13ED5">
            <w:pPr>
              <w:ind w:left="-2628"/>
            </w:pPr>
          </w:p>
        </w:tc>
      </w:tr>
      <w:tr w:rsidR="0016014B" w:rsidTr="00B13ED5">
        <w:trPr>
          <w:trHeight w:val="5244"/>
        </w:trPr>
        <w:tc>
          <w:tcPr>
            <w:tcW w:w="10201" w:type="dxa"/>
            <w:gridSpan w:val="9"/>
            <w:vAlign w:val="center"/>
          </w:tcPr>
          <w:p w:rsidR="006B3466" w:rsidRDefault="00865E2C" w:rsidP="006B3466">
            <w:pPr>
              <w:pStyle w:val="af2"/>
              <w:rPr>
                <w:sz w:val="44"/>
                <w:szCs w:val="44"/>
              </w:rPr>
            </w:pPr>
            <w:r w:rsidRPr="006B3466">
              <w:rPr>
                <w:sz w:val="44"/>
                <w:szCs w:val="44"/>
              </w:rPr>
              <w:t>Загрузка</w:t>
            </w:r>
            <w:r w:rsidR="00262F96" w:rsidRPr="006B3466">
              <w:rPr>
                <w:sz w:val="44"/>
                <w:szCs w:val="44"/>
              </w:rPr>
              <w:t xml:space="preserve"> оборотов по синтетическим счетам бухгалтерского учета</w:t>
            </w:r>
            <w:r w:rsidR="006B3466" w:rsidRPr="006B3466">
              <w:rPr>
                <w:sz w:val="44"/>
                <w:szCs w:val="44"/>
              </w:rPr>
              <w:t xml:space="preserve"> в подсистему «Бухгалтерия»</w:t>
            </w:r>
          </w:p>
          <w:p w:rsidR="0016014B" w:rsidRPr="006B3466" w:rsidRDefault="006B3466" w:rsidP="00D063EA">
            <w:pPr>
              <w:pStyle w:val="EBTitul0"/>
              <w:rPr>
                <w:sz w:val="44"/>
                <w:szCs w:val="44"/>
              </w:rPr>
            </w:pPr>
            <w:r w:rsidRPr="006B3466">
              <w:rPr>
                <w:rFonts w:cs="Tahoma"/>
                <w:sz w:val="28"/>
                <w:szCs w:val="24"/>
              </w:rPr>
              <w:t>Информационн</w:t>
            </w:r>
            <w:r w:rsidR="00D063EA">
              <w:rPr>
                <w:rFonts w:cs="Tahoma"/>
                <w:sz w:val="28"/>
                <w:szCs w:val="24"/>
              </w:rPr>
              <w:t>ая</w:t>
            </w:r>
            <w:r w:rsidRPr="006B3466">
              <w:rPr>
                <w:rFonts w:cs="Tahoma"/>
                <w:sz w:val="28"/>
                <w:szCs w:val="24"/>
              </w:rPr>
              <w:t xml:space="preserve"> систем</w:t>
            </w:r>
            <w:r w:rsidR="00D063EA">
              <w:rPr>
                <w:rFonts w:cs="Tahoma"/>
                <w:sz w:val="28"/>
                <w:szCs w:val="24"/>
              </w:rPr>
              <w:t>а</w:t>
            </w:r>
            <w:r w:rsidRPr="006B3466">
              <w:rPr>
                <w:rFonts w:cs="Tahoma"/>
                <w:sz w:val="28"/>
                <w:szCs w:val="24"/>
              </w:rPr>
              <w:t xml:space="preserve"> бюджетного учета и отчетности</w:t>
            </w:r>
            <w:r w:rsidR="00D063EA">
              <w:rPr>
                <w:rFonts w:cs="Tahoma"/>
                <w:sz w:val="28"/>
                <w:szCs w:val="24"/>
              </w:rPr>
              <w:br/>
            </w:r>
            <w:r w:rsidRPr="006B3466">
              <w:rPr>
                <w:rFonts w:cs="Tahoma"/>
                <w:sz w:val="28"/>
                <w:szCs w:val="24"/>
              </w:rPr>
              <w:t>для учреждений Республики Татарстан</w:t>
            </w:r>
          </w:p>
        </w:tc>
      </w:tr>
      <w:tr w:rsidR="0016014B" w:rsidTr="00B13ED5">
        <w:trPr>
          <w:trHeight w:val="705"/>
        </w:trPr>
        <w:tc>
          <w:tcPr>
            <w:tcW w:w="10201" w:type="dxa"/>
            <w:gridSpan w:val="9"/>
            <w:vAlign w:val="center"/>
          </w:tcPr>
          <w:p w:rsidR="0016014B" w:rsidRPr="008A0A1B" w:rsidRDefault="0016014B" w:rsidP="00B13ED5">
            <w:pPr>
              <w:rPr>
                <w:szCs w:val="32"/>
              </w:rPr>
            </w:pPr>
          </w:p>
        </w:tc>
      </w:tr>
      <w:tr w:rsidR="0016014B" w:rsidTr="00B13ED5">
        <w:trPr>
          <w:trHeight w:val="385"/>
        </w:trPr>
        <w:tc>
          <w:tcPr>
            <w:tcW w:w="3692" w:type="dxa"/>
            <w:gridSpan w:val="3"/>
            <w:vAlign w:val="center"/>
          </w:tcPr>
          <w:p w:rsidR="0016014B" w:rsidRPr="00A818DE" w:rsidRDefault="0016014B" w:rsidP="00B13ED5"/>
        </w:tc>
        <w:tc>
          <w:tcPr>
            <w:tcW w:w="2980" w:type="dxa"/>
            <w:gridSpan w:val="4"/>
            <w:vAlign w:val="center"/>
          </w:tcPr>
          <w:p w:rsidR="0016014B" w:rsidRPr="00A818DE" w:rsidRDefault="0016014B" w:rsidP="00B13ED5">
            <w:pPr>
              <w:ind w:left="-2628"/>
            </w:pPr>
          </w:p>
        </w:tc>
        <w:tc>
          <w:tcPr>
            <w:tcW w:w="3529" w:type="dxa"/>
            <w:gridSpan w:val="2"/>
            <w:vAlign w:val="center"/>
          </w:tcPr>
          <w:p w:rsidR="0016014B" w:rsidRPr="00A818DE" w:rsidRDefault="0016014B" w:rsidP="00B13ED5">
            <w:pPr>
              <w:ind w:left="-2628"/>
            </w:pPr>
          </w:p>
        </w:tc>
      </w:tr>
      <w:tr w:rsidR="0016014B" w:rsidTr="00B13ED5">
        <w:trPr>
          <w:trHeight w:val="2793"/>
        </w:trPr>
        <w:tc>
          <w:tcPr>
            <w:tcW w:w="5225" w:type="dxa"/>
            <w:gridSpan w:val="5"/>
            <w:vAlign w:val="center"/>
          </w:tcPr>
          <w:p w:rsidR="0016014B" w:rsidRPr="00A818DE" w:rsidRDefault="0016014B" w:rsidP="00B13ED5"/>
        </w:tc>
        <w:tc>
          <w:tcPr>
            <w:tcW w:w="4976" w:type="dxa"/>
            <w:gridSpan w:val="4"/>
            <w:vAlign w:val="center"/>
          </w:tcPr>
          <w:p w:rsidR="0016014B" w:rsidRPr="00D27AF1" w:rsidRDefault="0016014B" w:rsidP="00B13ED5"/>
        </w:tc>
      </w:tr>
      <w:tr w:rsidR="0016014B" w:rsidTr="00B13ED5">
        <w:trPr>
          <w:trHeight w:val="500"/>
        </w:trPr>
        <w:tc>
          <w:tcPr>
            <w:tcW w:w="2818" w:type="dxa"/>
            <w:gridSpan w:val="2"/>
            <w:vAlign w:val="center"/>
          </w:tcPr>
          <w:p w:rsidR="0016014B" w:rsidRPr="00A818DE" w:rsidRDefault="0016014B" w:rsidP="00B13ED5"/>
        </w:tc>
        <w:tc>
          <w:tcPr>
            <w:tcW w:w="4560" w:type="dxa"/>
            <w:gridSpan w:val="6"/>
            <w:vAlign w:val="center"/>
          </w:tcPr>
          <w:p w:rsidR="0016014B" w:rsidRPr="00D27AF1" w:rsidRDefault="0016014B" w:rsidP="00A3197A">
            <w:pPr>
              <w:pStyle w:val="af1"/>
            </w:pPr>
          </w:p>
        </w:tc>
        <w:tc>
          <w:tcPr>
            <w:tcW w:w="2823" w:type="dxa"/>
            <w:vAlign w:val="center"/>
          </w:tcPr>
          <w:p w:rsidR="0016014B" w:rsidRDefault="0016014B" w:rsidP="00B13ED5">
            <w:pPr>
              <w:ind w:left="-2628"/>
            </w:pPr>
          </w:p>
        </w:tc>
      </w:tr>
      <w:tr w:rsidR="0016014B" w:rsidTr="00B13ED5">
        <w:trPr>
          <w:trHeight w:val="522"/>
        </w:trPr>
        <w:tc>
          <w:tcPr>
            <w:tcW w:w="2818" w:type="dxa"/>
            <w:gridSpan w:val="2"/>
            <w:vAlign w:val="center"/>
          </w:tcPr>
          <w:p w:rsidR="0016014B" w:rsidRDefault="0016014B" w:rsidP="00B13ED5"/>
        </w:tc>
        <w:tc>
          <w:tcPr>
            <w:tcW w:w="4560" w:type="dxa"/>
            <w:gridSpan w:val="6"/>
            <w:vAlign w:val="center"/>
          </w:tcPr>
          <w:p w:rsidR="0016014B" w:rsidRPr="00262F96" w:rsidRDefault="00A3197A" w:rsidP="00262F96">
            <w:pPr>
              <w:pStyle w:val="af1"/>
            </w:pPr>
            <w:r w:rsidRPr="00D27AF1">
              <w:t>20</w:t>
            </w:r>
            <w:r>
              <w:t>1</w:t>
            </w:r>
            <w:r w:rsidR="00262F96">
              <w:t>9</w:t>
            </w:r>
          </w:p>
        </w:tc>
        <w:tc>
          <w:tcPr>
            <w:tcW w:w="2823" w:type="dxa"/>
            <w:vAlign w:val="center"/>
          </w:tcPr>
          <w:p w:rsidR="0016014B" w:rsidRDefault="0016014B" w:rsidP="00B13ED5">
            <w:pPr>
              <w:ind w:left="-2628"/>
            </w:pPr>
          </w:p>
        </w:tc>
      </w:tr>
    </w:tbl>
    <w:p w:rsidR="0016014B" w:rsidRPr="00EE23E5" w:rsidRDefault="0016014B" w:rsidP="0016014B">
      <w:pPr>
        <w:pStyle w:val="ad"/>
      </w:pPr>
      <w:r>
        <w:lastRenderedPageBreak/>
        <w:t>Содержание</w:t>
      </w:r>
    </w:p>
    <w:p w:rsidR="00310C81" w:rsidRDefault="00CB5FE8">
      <w:pPr>
        <w:pStyle w:val="14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 w:rsidRPr="00CB5FE8">
        <w:fldChar w:fldCharType="begin"/>
      </w:r>
      <w:r w:rsidR="0016014B">
        <w:instrText xml:space="preserve"> TOC \o "1-6" \h \z \u </w:instrText>
      </w:r>
      <w:r w:rsidRPr="00CB5FE8">
        <w:fldChar w:fldCharType="separate"/>
      </w:r>
      <w:hyperlink w:anchor="_Toc10108114" w:history="1">
        <w:r w:rsidR="00310C81" w:rsidRPr="00EF1336">
          <w:rPr>
            <w:rStyle w:val="af4"/>
            <w:rFonts w:cs="Tahoma"/>
          </w:rPr>
          <w:t>1.</w:t>
        </w:r>
        <w:r w:rsidR="00310C81" w:rsidRPr="00EF1336">
          <w:rPr>
            <w:rStyle w:val="af4"/>
          </w:rPr>
          <w:t xml:space="preserve"> Общие положения</w:t>
        </w:r>
        <w:r w:rsidR="00310C81">
          <w:rPr>
            <w:webHidden/>
          </w:rPr>
          <w:tab/>
        </w:r>
        <w:r>
          <w:rPr>
            <w:webHidden/>
          </w:rPr>
          <w:fldChar w:fldCharType="begin"/>
        </w:r>
        <w:r w:rsidR="00310C81">
          <w:rPr>
            <w:webHidden/>
          </w:rPr>
          <w:instrText xml:space="preserve"> PAGEREF _Toc10108114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10C8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10C81" w:rsidRDefault="00CB5FE8">
      <w:pPr>
        <w:pStyle w:val="14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10108115" w:history="1">
        <w:r w:rsidR="00310C81" w:rsidRPr="00EF1336">
          <w:rPr>
            <w:rStyle w:val="af4"/>
            <w:rFonts w:cs="Tahoma"/>
          </w:rPr>
          <w:t>2.</w:t>
        </w:r>
        <w:r w:rsidR="00310C81" w:rsidRPr="00EF1336">
          <w:rPr>
            <w:rStyle w:val="af4"/>
          </w:rPr>
          <w:t xml:space="preserve"> Преобразование файла </w:t>
        </w:r>
        <w:r w:rsidR="00310C81" w:rsidRPr="00EF1336">
          <w:rPr>
            <w:rStyle w:val="af4"/>
            <w:lang w:eastAsia="ru-RU"/>
          </w:rPr>
          <w:t>выгрузки</w:t>
        </w:r>
        <w:r w:rsidR="00310C81">
          <w:rPr>
            <w:webHidden/>
          </w:rPr>
          <w:tab/>
        </w:r>
        <w:r>
          <w:rPr>
            <w:webHidden/>
          </w:rPr>
          <w:fldChar w:fldCharType="begin"/>
        </w:r>
        <w:r w:rsidR="00310C81">
          <w:rPr>
            <w:webHidden/>
          </w:rPr>
          <w:instrText xml:space="preserve"> PAGEREF _Toc10108115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10C8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10C81" w:rsidRDefault="00CB5FE8">
      <w:pPr>
        <w:pStyle w:val="14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10108116" w:history="1">
        <w:r w:rsidR="00310C81" w:rsidRPr="00EF1336">
          <w:rPr>
            <w:rStyle w:val="af4"/>
            <w:rFonts w:cs="Tahoma"/>
          </w:rPr>
          <w:t>3.</w:t>
        </w:r>
        <w:r w:rsidR="00310C81" w:rsidRPr="00EF1336">
          <w:rPr>
            <w:rStyle w:val="af4"/>
          </w:rPr>
          <w:t xml:space="preserve"> Загрузка оборотов в подсистему «Бухгалтерия»</w:t>
        </w:r>
        <w:r w:rsidR="00310C81">
          <w:rPr>
            <w:webHidden/>
          </w:rPr>
          <w:tab/>
        </w:r>
        <w:r>
          <w:rPr>
            <w:webHidden/>
          </w:rPr>
          <w:fldChar w:fldCharType="begin"/>
        </w:r>
        <w:r w:rsidR="00310C81">
          <w:rPr>
            <w:webHidden/>
          </w:rPr>
          <w:instrText xml:space="preserve"> PAGEREF _Toc10108116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10C81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B3466" w:rsidRDefault="00CB5FE8" w:rsidP="006B3466">
      <w:pPr>
        <w:pStyle w:val="ae"/>
      </w:pPr>
      <w:r>
        <w:fldChar w:fldCharType="end"/>
      </w:r>
    </w:p>
    <w:p w:rsidR="00262F96" w:rsidRDefault="00262F96" w:rsidP="00113D36">
      <w:pPr>
        <w:pStyle w:val="1"/>
      </w:pPr>
      <w:bookmarkStart w:id="0" w:name="_Toc10108114"/>
      <w:r w:rsidRPr="00262F96">
        <w:lastRenderedPageBreak/>
        <w:t>Общие положения</w:t>
      </w:r>
      <w:bookmarkEnd w:id="0"/>
    </w:p>
    <w:p w:rsidR="00262F96" w:rsidRDefault="00262F96" w:rsidP="00262F96">
      <w:pPr>
        <w:pStyle w:val="ae"/>
      </w:pPr>
      <w:r w:rsidRPr="00262F96">
        <w:t xml:space="preserve">Настоящий документ </w:t>
      </w:r>
      <w:r>
        <w:t xml:space="preserve">описывает </w:t>
      </w:r>
      <w:r w:rsidR="006B3466">
        <w:t>механизм</w:t>
      </w:r>
      <w:r w:rsidRPr="00262F96">
        <w:t xml:space="preserve"> </w:t>
      </w:r>
      <w:r>
        <w:t>загрузки</w:t>
      </w:r>
      <w:r w:rsidRPr="00262F96">
        <w:t xml:space="preserve"> оборотов по синтетическим счетам бухгалтерского учета </w:t>
      </w:r>
      <w:r w:rsidR="006B3466">
        <w:t xml:space="preserve">выгруженных </w:t>
      </w:r>
      <w:r w:rsidRPr="00262F96">
        <w:t xml:space="preserve">из </w:t>
      </w:r>
      <w:r w:rsidR="006B3466">
        <w:t>других систем</w:t>
      </w:r>
      <w:r w:rsidRPr="00262F96">
        <w:t xml:space="preserve">, используемых для ведения бухгалтерского (бюджетного) учета до внедрения </w:t>
      </w:r>
      <w:r>
        <w:t xml:space="preserve">подсистемы </w:t>
      </w:r>
      <w:r w:rsidRPr="00262F96">
        <w:t>«Бухгалтерия»</w:t>
      </w:r>
      <w:r>
        <w:t xml:space="preserve"> </w:t>
      </w:r>
      <w:r w:rsidRPr="00262F96">
        <w:t>Информационной системы бюджетного учета и отчетности для учреждений Республики Татарстан</w:t>
      </w:r>
      <w:r w:rsidR="00865E2C">
        <w:t xml:space="preserve"> (далее – подсистема </w:t>
      </w:r>
      <w:r w:rsidR="00865E2C" w:rsidRPr="00262F96">
        <w:t>«Бухгалтерия»</w:t>
      </w:r>
      <w:r w:rsidR="00865E2C">
        <w:t>)</w:t>
      </w:r>
      <w:r w:rsidRPr="00262F96">
        <w:t>.</w:t>
      </w:r>
    </w:p>
    <w:p w:rsidR="00865E2C" w:rsidRDefault="00865E2C" w:rsidP="00262F96">
      <w:pPr>
        <w:pStyle w:val="ae"/>
      </w:pPr>
    </w:p>
    <w:p w:rsidR="006B3466" w:rsidRDefault="006B3466" w:rsidP="006B3466">
      <w:pPr>
        <w:pStyle w:val="ae"/>
      </w:pPr>
      <w:r>
        <w:t xml:space="preserve">Перенос данных из других систем состоит из </w:t>
      </w:r>
      <w:r w:rsidR="002A66E4">
        <w:t>трех</w:t>
      </w:r>
      <w:r>
        <w:t xml:space="preserve"> этапов:</w:t>
      </w:r>
    </w:p>
    <w:p w:rsidR="006B3466" w:rsidRDefault="006B3466" w:rsidP="006B3466">
      <w:pPr>
        <w:pStyle w:val="ae"/>
        <w:tabs>
          <w:tab w:val="clear" w:pos="1134"/>
          <w:tab w:val="left" w:pos="993"/>
        </w:tabs>
      </w:pPr>
      <w:r>
        <w:t xml:space="preserve">1) </w:t>
      </w:r>
      <w:r>
        <w:tab/>
        <w:t>Выгрузка оборот</w:t>
      </w:r>
      <w:r w:rsidR="002D42C3">
        <w:t>ов</w:t>
      </w:r>
      <w:r>
        <w:t xml:space="preserve"> из другой системы в отдельный файл;</w:t>
      </w:r>
    </w:p>
    <w:p w:rsidR="002D42C3" w:rsidRDefault="002D42C3" w:rsidP="006B3466">
      <w:pPr>
        <w:pStyle w:val="ae"/>
        <w:tabs>
          <w:tab w:val="clear" w:pos="1134"/>
          <w:tab w:val="left" w:pos="993"/>
        </w:tabs>
      </w:pPr>
      <w:r>
        <w:t xml:space="preserve">2) </w:t>
      </w:r>
      <w:r>
        <w:tab/>
      </w:r>
      <w:r w:rsidRPr="00865E2C">
        <w:t>Преобразование</w:t>
      </w:r>
      <w:r>
        <w:t xml:space="preserve"> файла </w:t>
      </w:r>
      <w:r>
        <w:rPr>
          <w:lang w:eastAsia="ru-RU"/>
        </w:rPr>
        <w:t>выгрузки (</w:t>
      </w:r>
      <w:r w:rsidR="00D72747">
        <w:rPr>
          <w:lang w:eastAsia="ru-RU"/>
        </w:rPr>
        <w:t>необязательно</w:t>
      </w:r>
      <w:r>
        <w:rPr>
          <w:lang w:eastAsia="ru-RU"/>
        </w:rPr>
        <w:t xml:space="preserve">), </w:t>
      </w:r>
      <w:proofErr w:type="gramStart"/>
      <w:r>
        <w:rPr>
          <w:lang w:eastAsia="ru-RU"/>
        </w:rPr>
        <w:t>см</w:t>
      </w:r>
      <w:proofErr w:type="gramEnd"/>
      <w:r>
        <w:rPr>
          <w:lang w:eastAsia="ru-RU"/>
        </w:rPr>
        <w:t xml:space="preserve">. п. </w:t>
      </w:r>
      <w:fldSimple w:instr=" REF _Ref10107956 \n \h  \* MERGEFORMAT ">
        <w:r w:rsidR="00310C81">
          <w:rPr>
            <w:color w:val="0000FF"/>
            <w:lang w:eastAsia="ru-RU"/>
          </w:rPr>
          <w:t>2</w:t>
        </w:r>
      </w:fldSimple>
      <w:r>
        <w:rPr>
          <w:lang w:eastAsia="ru-RU"/>
        </w:rPr>
        <w:t>;</w:t>
      </w:r>
    </w:p>
    <w:p w:rsidR="006B3466" w:rsidRDefault="002D42C3" w:rsidP="006B3466">
      <w:pPr>
        <w:pStyle w:val="ae"/>
        <w:tabs>
          <w:tab w:val="clear" w:pos="1134"/>
          <w:tab w:val="left" w:pos="993"/>
        </w:tabs>
      </w:pPr>
      <w:r>
        <w:t>3</w:t>
      </w:r>
      <w:r w:rsidR="006B3466">
        <w:t xml:space="preserve">) </w:t>
      </w:r>
      <w:r w:rsidR="006B3466">
        <w:tab/>
        <w:t xml:space="preserve">Загрузка </w:t>
      </w:r>
      <w:r>
        <w:t xml:space="preserve">оборотов из </w:t>
      </w:r>
      <w:r w:rsidR="006B3466">
        <w:t xml:space="preserve">файла в подсистему </w:t>
      </w:r>
      <w:r w:rsidR="006B3466" w:rsidRPr="00262F96">
        <w:t>«Бухгалтерия»</w:t>
      </w:r>
      <w:r>
        <w:t xml:space="preserve">, </w:t>
      </w:r>
      <w:proofErr w:type="gramStart"/>
      <w:r>
        <w:t>см</w:t>
      </w:r>
      <w:proofErr w:type="gramEnd"/>
      <w:r>
        <w:t xml:space="preserve">. п. </w:t>
      </w:r>
      <w:fldSimple w:instr=" REF _Ref10107967 \n \h  \* MERGEFORMAT ">
        <w:r w:rsidR="00310C81">
          <w:rPr>
            <w:color w:val="0000FF"/>
            <w:lang w:eastAsia="ru-RU"/>
          </w:rPr>
          <w:t>3</w:t>
        </w:r>
      </w:fldSimple>
      <w:r w:rsidR="006B3466">
        <w:t>.</w:t>
      </w:r>
    </w:p>
    <w:p w:rsidR="002D42C3" w:rsidRPr="00262F96" w:rsidRDefault="002D42C3" w:rsidP="00262F96">
      <w:pPr>
        <w:pStyle w:val="ae"/>
      </w:pPr>
    </w:p>
    <w:p w:rsidR="00113D36" w:rsidRDefault="00865E2C" w:rsidP="00113D36">
      <w:pPr>
        <w:pStyle w:val="1"/>
      </w:pPr>
      <w:bookmarkStart w:id="1" w:name="_Ref10107956"/>
      <w:bookmarkStart w:id="2" w:name="_Toc10108115"/>
      <w:r w:rsidRPr="00865E2C">
        <w:lastRenderedPageBreak/>
        <w:t>Преобразование</w:t>
      </w:r>
      <w:r>
        <w:t xml:space="preserve"> файла </w:t>
      </w:r>
      <w:r>
        <w:rPr>
          <w:lang w:eastAsia="ru-RU"/>
        </w:rPr>
        <w:t>выгрузки</w:t>
      </w:r>
      <w:bookmarkEnd w:id="1"/>
      <w:bookmarkEnd w:id="2"/>
    </w:p>
    <w:p w:rsidR="00865E2C" w:rsidRDefault="00D72747" w:rsidP="00D72747">
      <w:pPr>
        <w:pStyle w:val="aa"/>
      </w:pPr>
      <w:r w:rsidRPr="00D72747">
        <w:rPr>
          <w:rStyle w:val="a7"/>
        </w:rPr>
        <w:t>Важно!</w:t>
      </w:r>
      <w:r>
        <w:t xml:space="preserve"> </w:t>
      </w:r>
      <w:r w:rsidR="002D42C3">
        <w:t xml:space="preserve">Преобразование </w:t>
      </w:r>
      <w:r w:rsidR="00865E2C">
        <w:t>файла выгрузки</w:t>
      </w:r>
      <w:r w:rsidR="002D42C3">
        <w:t xml:space="preserve"> делается для настройки пользовательской аналитики</w:t>
      </w:r>
      <w:r w:rsidR="00865E2C">
        <w:t xml:space="preserve">. Данный пункт можно пропустить, если нет необходимости в переносе аналитики из </w:t>
      </w:r>
      <w:r w:rsidR="00D063EA">
        <w:t>программы</w:t>
      </w:r>
      <w:r w:rsidR="00865E2C">
        <w:t xml:space="preserve"> 1С.</w:t>
      </w:r>
    </w:p>
    <w:p w:rsidR="00D063EA" w:rsidRDefault="00D063EA" w:rsidP="00865E2C">
      <w:pPr>
        <w:pStyle w:val="ae"/>
      </w:pPr>
    </w:p>
    <w:p w:rsidR="00D063EA" w:rsidRDefault="00D063EA" w:rsidP="00865E2C">
      <w:pPr>
        <w:pStyle w:val="ae"/>
      </w:pPr>
      <w:r>
        <w:t>Порядок п</w:t>
      </w:r>
      <w:r w:rsidRPr="00865E2C">
        <w:t>реобразовани</w:t>
      </w:r>
      <w:r>
        <w:t xml:space="preserve">я файла </w:t>
      </w:r>
      <w:r>
        <w:rPr>
          <w:lang w:eastAsia="ru-RU"/>
        </w:rPr>
        <w:t>выгрузки:</w:t>
      </w:r>
    </w:p>
    <w:p w:rsidR="00865E2C" w:rsidRDefault="00D063EA" w:rsidP="00865E2C">
      <w:pPr>
        <w:pStyle w:val="ae"/>
      </w:pPr>
      <w:r>
        <w:t xml:space="preserve">1) </w:t>
      </w:r>
      <w:r w:rsidR="00865E2C">
        <w:t xml:space="preserve">Выполнить вход </w:t>
      </w:r>
      <w:r>
        <w:t>в подсистему «Бухгалтерия»</w:t>
      </w:r>
      <w:r w:rsidR="00865E2C">
        <w:t>.</w:t>
      </w:r>
    </w:p>
    <w:p w:rsidR="001F3448" w:rsidRDefault="001F3448" w:rsidP="00EC609E">
      <w:pPr>
        <w:pStyle w:val="aa"/>
      </w:pPr>
      <w:r w:rsidRPr="00D46F90">
        <w:rPr>
          <w:rStyle w:val="a7"/>
        </w:rPr>
        <w:t>Важно!</w:t>
      </w:r>
      <w:r>
        <w:t xml:space="preserve"> ИНН и КПП в преобразуемом файле должно совпадать с ИНН и КПП выбранного в подсистеме «Бухгалтерия» учреждения, в противном случае система выдаст сообщение о несоответствии.</w:t>
      </w:r>
    </w:p>
    <w:p w:rsidR="001F3448" w:rsidRDefault="001F3448" w:rsidP="00865E2C">
      <w:pPr>
        <w:pStyle w:val="ae"/>
      </w:pPr>
    </w:p>
    <w:p w:rsidR="00865E2C" w:rsidRDefault="00D063EA" w:rsidP="00D063EA">
      <w:pPr>
        <w:pStyle w:val="ae"/>
      </w:pPr>
      <w:r>
        <w:t xml:space="preserve">2) </w:t>
      </w:r>
      <w:r w:rsidR="00865E2C">
        <w:t xml:space="preserve">Открыть пункт меню </w:t>
      </w:r>
      <w:r w:rsidR="00865E2C" w:rsidRPr="00D063EA">
        <w:rPr>
          <w:rStyle w:val="15"/>
        </w:rPr>
        <w:t>[Администрирование/ Реестр загрузок/ Преобразование аналитики]</w:t>
      </w:r>
      <w:r>
        <w:t>.</w:t>
      </w:r>
    </w:p>
    <w:p w:rsidR="00865E2C" w:rsidRPr="00923C88" w:rsidRDefault="00923C88" w:rsidP="00865E2C">
      <w:pPr>
        <w:pStyle w:val="ab"/>
        <w:rPr>
          <w:rFonts w:cs="Tahoma"/>
          <w:bCs/>
          <w:szCs w:val="24"/>
          <w:lang w:val="ru-RU" w:eastAsia="ru-RU"/>
        </w:rPr>
      </w:pPr>
      <w:r>
        <w:rPr>
          <w:rFonts w:cs="Tahoma"/>
          <w:bCs/>
          <w:szCs w:val="24"/>
          <w:lang w:val="ru-RU" w:eastAsia="ru-RU"/>
        </w:rPr>
        <w:drawing>
          <wp:inline distT="0" distB="0" distL="0" distR="0">
            <wp:extent cx="4970476" cy="3829048"/>
            <wp:effectExtent l="19050" t="0" r="1574" b="0"/>
            <wp:docPr id="5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476" cy="382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E2C" w:rsidRDefault="00865E2C" w:rsidP="00865E2C">
      <w:pPr>
        <w:pStyle w:val="ac"/>
        <w:rPr>
          <w:lang w:eastAsia="ru-RU"/>
        </w:rPr>
      </w:pPr>
      <w:r>
        <w:rPr>
          <w:lang w:eastAsia="ru-RU"/>
        </w:rPr>
        <w:t xml:space="preserve">Рис. </w:t>
      </w:r>
      <w:fldSimple w:instr=" SEQ Рис. \* ARABIC ">
        <w:r w:rsidR="00310C81">
          <w:rPr>
            <w:noProof/>
          </w:rPr>
          <w:t>1</w:t>
        </w:r>
      </w:fldSimple>
      <w:r>
        <w:t>.</w:t>
      </w:r>
      <w:r>
        <w:rPr>
          <w:lang w:eastAsia="ru-RU"/>
        </w:rPr>
        <w:t xml:space="preserve"> Пункт меню «Преобразование аналитики»</w:t>
      </w:r>
    </w:p>
    <w:p w:rsidR="00865E2C" w:rsidRDefault="001F3448" w:rsidP="001F3448">
      <w:pPr>
        <w:pStyle w:val="ae"/>
      </w:pPr>
      <w:r>
        <w:rPr>
          <w:lang w:eastAsia="ru-RU"/>
        </w:rPr>
        <w:t xml:space="preserve">3) </w:t>
      </w:r>
      <w:r w:rsidR="00865E2C">
        <w:rPr>
          <w:lang w:eastAsia="ru-RU"/>
        </w:rPr>
        <w:t>В открывшемся окне</w:t>
      </w:r>
      <w:r>
        <w:rPr>
          <w:lang w:eastAsia="ru-RU"/>
        </w:rPr>
        <w:t xml:space="preserve"> </w:t>
      </w:r>
      <w:r w:rsidR="00865E2C">
        <w:t>нажать на</w:t>
      </w:r>
      <w:r>
        <w:t xml:space="preserve"> кнопку</w:t>
      </w:r>
      <w:r w:rsidR="00865E2C">
        <w:t xml:space="preserve"> </w:t>
      </w:r>
      <w:r>
        <w:rPr>
          <w:noProof/>
          <w:lang w:eastAsia="ru-RU"/>
        </w:rPr>
        <w:drawing>
          <wp:inline distT="0" distB="0" distL="0" distR="0">
            <wp:extent cx="209550" cy="209550"/>
            <wp:effectExtent l="19050" t="0" r="0" b="0"/>
            <wp:docPr id="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E2C">
        <w:t xml:space="preserve"> и выбрать файл выгрузки из 1С с именем «</w:t>
      </w:r>
      <w:proofErr w:type="spellStart"/>
      <w:proofErr w:type="gramStart"/>
      <w:r w:rsidR="00865E2C" w:rsidRPr="001A445A">
        <w:t>WSN</w:t>
      </w:r>
      <w:proofErr w:type="gramEnd"/>
      <w:r w:rsidR="00865E2C">
        <w:t>хххххх</w:t>
      </w:r>
      <w:proofErr w:type="spellEnd"/>
      <w:r w:rsidR="00865E2C">
        <w:t>»</w:t>
      </w:r>
      <w:r>
        <w:t xml:space="preserve">. В поле </w:t>
      </w:r>
      <w:r w:rsidR="00865E2C">
        <w:t xml:space="preserve">«Тип файла» </w:t>
      </w:r>
      <w:r>
        <w:t>выбрать значение</w:t>
      </w:r>
      <w:r w:rsidR="00865E2C">
        <w:t xml:space="preserve"> «Обороты»</w:t>
      </w:r>
      <w:r>
        <w:t xml:space="preserve">. Затем нажать на кнопку </w:t>
      </w:r>
      <w:r w:rsidR="00865E2C">
        <w:t>«Далее».</w:t>
      </w:r>
    </w:p>
    <w:p w:rsidR="00865E2C" w:rsidRDefault="00865E2C" w:rsidP="00865E2C">
      <w:pPr>
        <w:pStyle w:val="ab"/>
        <w:rPr>
          <w:rFonts w:cs="Tahoma"/>
          <w:bCs/>
          <w:szCs w:val="24"/>
          <w:lang w:eastAsia="ru-RU"/>
        </w:rPr>
      </w:pPr>
      <w:r>
        <w:rPr>
          <w:lang w:val="ru-RU" w:eastAsia="ru-RU"/>
        </w:rPr>
        <w:lastRenderedPageBreak/>
        <w:drawing>
          <wp:inline distT="0" distB="0" distL="0" distR="0">
            <wp:extent cx="3314286" cy="1419048"/>
            <wp:effectExtent l="19050" t="19050" r="19685" b="10160"/>
            <wp:docPr id="3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1419048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5E2C" w:rsidRDefault="00865E2C" w:rsidP="00865E2C">
      <w:pPr>
        <w:pStyle w:val="ac"/>
      </w:pPr>
      <w:r>
        <w:rPr>
          <w:bCs/>
          <w:lang w:eastAsia="ru-RU"/>
        </w:rPr>
        <w:t xml:space="preserve">Рис. </w:t>
      </w:r>
      <w:fldSimple w:instr=" SEQ Рис. \* ARABIC ">
        <w:r w:rsidR="00310C81">
          <w:rPr>
            <w:noProof/>
          </w:rPr>
          <w:t>2</w:t>
        </w:r>
      </w:fldSimple>
      <w:r>
        <w:t>.</w:t>
      </w:r>
      <w:r>
        <w:rPr>
          <w:bCs/>
          <w:lang w:eastAsia="ru-RU"/>
        </w:rPr>
        <w:t xml:space="preserve"> </w:t>
      </w:r>
      <w:r>
        <w:t xml:space="preserve">Окно </w:t>
      </w:r>
      <w:r w:rsidR="00923C88">
        <w:t>загрузка данных из</w:t>
      </w:r>
      <w:r>
        <w:t xml:space="preserve"> </w:t>
      </w:r>
      <w:r>
        <w:rPr>
          <w:lang w:val="en-US"/>
        </w:rPr>
        <w:t>xml</w:t>
      </w:r>
      <w:r>
        <w:t>-файла</w:t>
      </w:r>
    </w:p>
    <w:p w:rsidR="00865E2C" w:rsidRDefault="00923C88" w:rsidP="00865E2C">
      <w:pPr>
        <w:pStyle w:val="ae"/>
      </w:pPr>
      <w:r>
        <w:t xml:space="preserve">4) </w:t>
      </w:r>
      <w:r w:rsidR="00865E2C">
        <w:t>Откр</w:t>
      </w:r>
      <w:r w:rsidR="0064139E">
        <w:t>ыва</w:t>
      </w:r>
      <w:r w:rsidR="00865E2C">
        <w:t>ется окно</w:t>
      </w:r>
      <w:r>
        <w:t xml:space="preserve"> «Настройка преобразования аналитики из</w:t>
      </w:r>
      <w:r w:rsidRPr="00923C88">
        <w:t xml:space="preserve"> </w:t>
      </w:r>
      <w:r>
        <w:rPr>
          <w:lang w:val="en-US"/>
        </w:rPr>
        <w:t>XML</w:t>
      </w:r>
      <w:r>
        <w:t>-файла»</w:t>
      </w:r>
      <w:r w:rsidR="0064139E">
        <w:t xml:space="preserve">, в котором необходимо сопоставить аналитические справочники подсистемы </w:t>
      </w:r>
      <w:r w:rsidR="0064139E" w:rsidRPr="002171FD">
        <w:t>«Бухгалтерия»</w:t>
      </w:r>
      <w:r w:rsidR="0064139E">
        <w:t xml:space="preserve"> с пользовательскими справочниками из загружаемого файла.</w:t>
      </w:r>
    </w:p>
    <w:p w:rsidR="00865E2C" w:rsidRDefault="00865E2C" w:rsidP="00865E2C">
      <w:pPr>
        <w:pStyle w:val="ab"/>
        <w:rPr>
          <w:rFonts w:cs="Tahoma"/>
          <w:bCs/>
          <w:szCs w:val="24"/>
          <w:lang w:eastAsia="ru-RU"/>
        </w:rPr>
      </w:pPr>
      <w:r>
        <w:rPr>
          <w:lang w:val="ru-RU" w:eastAsia="ru-RU"/>
        </w:rPr>
        <w:drawing>
          <wp:inline distT="0" distB="0" distL="0" distR="0">
            <wp:extent cx="6152515" cy="4025265"/>
            <wp:effectExtent l="19050" t="19050" r="19685" b="13335"/>
            <wp:docPr id="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025265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5E2C" w:rsidRPr="00865E2C" w:rsidRDefault="00865E2C" w:rsidP="00865E2C">
      <w:pPr>
        <w:pStyle w:val="ac"/>
      </w:pPr>
      <w:r w:rsidRPr="00865E2C">
        <w:t xml:space="preserve">Рис. </w:t>
      </w:r>
      <w:fldSimple w:instr=" SEQ Рис. \* ARABIC ">
        <w:r w:rsidR="00310C81">
          <w:rPr>
            <w:noProof/>
          </w:rPr>
          <w:t>3</w:t>
        </w:r>
      </w:fldSimple>
      <w:r w:rsidRPr="00865E2C">
        <w:t>. Вкладка «Соответствия по счетам»</w:t>
      </w:r>
    </w:p>
    <w:p w:rsidR="0064139E" w:rsidRDefault="00923C88" w:rsidP="0064139E">
      <w:pPr>
        <w:pStyle w:val="ae"/>
      </w:pPr>
      <w:r>
        <w:t xml:space="preserve">5) </w:t>
      </w:r>
      <w:r w:rsidR="0064139E">
        <w:t>Порядок сопоставления аналитических справочников:</w:t>
      </w:r>
    </w:p>
    <w:p w:rsidR="00865E2C" w:rsidRDefault="0064139E" w:rsidP="0064139E">
      <w:pPr>
        <w:pStyle w:val="ae"/>
      </w:pPr>
      <w:r>
        <w:t xml:space="preserve">5.1) </w:t>
      </w:r>
      <w:r w:rsidR="00923C88">
        <w:t>В поле</w:t>
      </w:r>
      <w:r w:rsidR="00865E2C">
        <w:t xml:space="preserve"> «Дат</w:t>
      </w:r>
      <w:r>
        <w:t>а</w:t>
      </w:r>
      <w:r w:rsidR="00865E2C">
        <w:t xml:space="preserve"> актуальности справочников</w:t>
      </w:r>
      <w:r w:rsidR="00923C88">
        <w:t>»</w:t>
      </w:r>
      <w:r w:rsidR="00865E2C">
        <w:t xml:space="preserve"> </w:t>
      </w:r>
      <w:r w:rsidR="00923C88">
        <w:t xml:space="preserve">– установить </w:t>
      </w:r>
      <w:r w:rsidR="00865E2C">
        <w:t>дат</w:t>
      </w:r>
      <w:r w:rsidR="00923C88">
        <w:t>у</w:t>
      </w:r>
      <w:r w:rsidR="00865E2C">
        <w:t xml:space="preserve">, на которую будут проставляться значения справочников из </w:t>
      </w:r>
      <w:r w:rsidR="00923C88">
        <w:t xml:space="preserve">подсистемы </w:t>
      </w:r>
      <w:r w:rsidR="00865E2C" w:rsidRPr="002171FD">
        <w:t>«Бухгалтерия»</w:t>
      </w:r>
      <w:r w:rsidR="00865E2C">
        <w:t>.</w:t>
      </w:r>
    </w:p>
    <w:p w:rsidR="00865E2C" w:rsidRDefault="0064139E" w:rsidP="0064139E">
      <w:pPr>
        <w:pStyle w:val="ae"/>
      </w:pPr>
      <w:r>
        <w:t xml:space="preserve">5.2.) </w:t>
      </w:r>
      <w:r w:rsidR="00EC609E">
        <w:t>В таблице «Соответствие справочников» в</w:t>
      </w:r>
      <w:r w:rsidR="00EC609E" w:rsidRPr="00AC6D78">
        <w:t xml:space="preserve"> </w:t>
      </w:r>
      <w:r w:rsidR="00865E2C" w:rsidRPr="00AC6D78">
        <w:t>столбцах «Значение в файле» и «Значение в системе»</w:t>
      </w:r>
      <w:r w:rsidR="00EC609E" w:rsidRPr="00EC609E">
        <w:t xml:space="preserve"> </w:t>
      </w:r>
      <w:r w:rsidR="00EC609E" w:rsidRPr="00AC6D78">
        <w:t>сопоставить справочники</w:t>
      </w:r>
      <w:r w:rsidR="00865E2C" w:rsidRPr="00AC6D78">
        <w:t xml:space="preserve">, выбирая при этом только справочники, информация по которым будет перенесена </w:t>
      </w:r>
      <w:r w:rsidR="00D063EA">
        <w:t>в подсистему «Бухгалтерия»</w:t>
      </w:r>
      <w:r w:rsidR="00865E2C" w:rsidRPr="00AC6D78">
        <w:t>.</w:t>
      </w:r>
    </w:p>
    <w:p w:rsidR="0064139E" w:rsidRPr="009263BE" w:rsidRDefault="0064139E" w:rsidP="00EC609E">
      <w:pPr>
        <w:pStyle w:val="aa"/>
        <w:ind w:left="170"/>
      </w:pPr>
      <w:r w:rsidRPr="00EC609E">
        <w:rPr>
          <w:rStyle w:val="a7"/>
        </w:rPr>
        <w:lastRenderedPageBreak/>
        <w:t>Важно!</w:t>
      </w:r>
      <w:r>
        <w:t xml:space="preserve"> Если в подсистеме «Бухгалтерия» нет требуемого справочника, то его необходимо </w:t>
      </w:r>
      <w:r w:rsidR="00EC609E">
        <w:t>создать в разделе «</w:t>
      </w:r>
      <w:r w:rsidR="00EC609E" w:rsidRPr="00EC609E">
        <w:t>Универсальные справочники</w:t>
      </w:r>
      <w:r w:rsidR="00EC609E">
        <w:t>»</w:t>
      </w:r>
      <w:r w:rsidR="00EC609E" w:rsidRPr="00EC609E">
        <w:t xml:space="preserve"> </w:t>
      </w:r>
      <w:r w:rsidR="00EC609E" w:rsidRPr="00EC609E">
        <w:rPr>
          <w:rStyle w:val="15"/>
        </w:rPr>
        <w:t>(Справочники –&gt; Универсальные справочники)</w:t>
      </w:r>
      <w:r w:rsidR="00EC609E">
        <w:t>.</w:t>
      </w:r>
    </w:p>
    <w:p w:rsidR="00EC609E" w:rsidRPr="009263BE" w:rsidRDefault="00EC609E" w:rsidP="0064139E">
      <w:pPr>
        <w:pStyle w:val="ae"/>
      </w:pPr>
    </w:p>
    <w:p w:rsidR="00865E2C" w:rsidRDefault="0064139E" w:rsidP="0064139E">
      <w:pPr>
        <w:pStyle w:val="ae"/>
      </w:pPr>
      <w:r>
        <w:t xml:space="preserve">5.3.) </w:t>
      </w:r>
      <w:r w:rsidR="00865E2C">
        <w:t>По сопоставленным справочникам заполнить столбец «Является», при этом возможны следующие варианты:</w:t>
      </w:r>
    </w:p>
    <w:p w:rsidR="00865E2C" w:rsidRDefault="00865E2C" w:rsidP="00FE504B">
      <w:pPr>
        <w:pStyle w:val="phlistitemized2"/>
      </w:pPr>
      <w:r>
        <w:t xml:space="preserve">Не учитывать </w:t>
      </w:r>
      <w:r w:rsidR="00EC609E">
        <w:t>–</w:t>
      </w:r>
      <w:r>
        <w:t xml:space="preserve"> аналитика по справочнику не будет загружена;</w:t>
      </w:r>
    </w:p>
    <w:p w:rsidR="00865E2C" w:rsidRDefault="00865E2C" w:rsidP="00FE504B">
      <w:pPr>
        <w:pStyle w:val="phlistitemized2"/>
      </w:pPr>
      <w:r>
        <w:t xml:space="preserve">Аналитика к счету </w:t>
      </w:r>
      <w:r w:rsidR="00EC609E">
        <w:t>–</w:t>
      </w:r>
      <w:r>
        <w:t xml:space="preserve"> значения пользовательской аналитики загрузятся как аналитика к счетам, указанным в столбце «Счет (а)»;</w:t>
      </w:r>
    </w:p>
    <w:p w:rsidR="00865E2C" w:rsidRDefault="00865E2C" w:rsidP="00FE504B">
      <w:pPr>
        <w:pStyle w:val="phlistitemized2"/>
      </w:pPr>
      <w:r>
        <w:t>Аналитика к КВД</w:t>
      </w:r>
      <w:r w:rsidRPr="001C72E8">
        <w:t xml:space="preserve"> </w:t>
      </w:r>
      <w:r w:rsidR="00EC609E">
        <w:t xml:space="preserve">– </w:t>
      </w:r>
      <w:r>
        <w:t>значения пользовательской аналитики загрузятся как аналитика к значениям справочника «Виды деятельности».</w:t>
      </w:r>
    </w:p>
    <w:p w:rsidR="00EC609E" w:rsidRDefault="00EC609E" w:rsidP="0064139E">
      <w:pPr>
        <w:pStyle w:val="ae"/>
      </w:pPr>
    </w:p>
    <w:p w:rsidR="00865E2C" w:rsidRDefault="0064139E" w:rsidP="0064139E">
      <w:pPr>
        <w:pStyle w:val="ae"/>
      </w:pPr>
      <w:r>
        <w:t xml:space="preserve">5.4.) </w:t>
      </w:r>
      <w:r w:rsidR="00865E2C">
        <w:t xml:space="preserve">Нажать </w:t>
      </w:r>
      <w:r w:rsidR="00EC609E">
        <w:t xml:space="preserve">на кнопку </w:t>
      </w:r>
      <w:r w:rsidR="00865E2C">
        <w:t>«</w:t>
      </w:r>
      <w:proofErr w:type="spellStart"/>
      <w:r w:rsidR="00865E2C">
        <w:t>Автоподбор</w:t>
      </w:r>
      <w:proofErr w:type="spellEnd"/>
      <w:r w:rsidR="00865E2C">
        <w:t xml:space="preserve"> значений» для автоматического сопоставления аналитических справочников программ.</w:t>
      </w:r>
    </w:p>
    <w:p w:rsidR="00EC609E" w:rsidRDefault="0064139E" w:rsidP="00EC609E">
      <w:pPr>
        <w:pStyle w:val="ae"/>
      </w:pPr>
      <w:r>
        <w:t xml:space="preserve">5.5.) </w:t>
      </w:r>
      <w:r w:rsidR="00865E2C">
        <w:t>У справочников со значением «Аналитика к счету» или «Аналитика к КВД» п</w:t>
      </w:r>
      <w:r w:rsidR="00865E2C" w:rsidRPr="00464B84">
        <w:t>ро</w:t>
      </w:r>
      <w:r w:rsidR="00865E2C">
        <w:t>верить заполнение</w:t>
      </w:r>
      <w:r w:rsidR="00865E2C" w:rsidRPr="00464B84">
        <w:t xml:space="preserve"> все</w:t>
      </w:r>
      <w:r w:rsidR="00865E2C">
        <w:t>х</w:t>
      </w:r>
      <w:r w:rsidR="00865E2C" w:rsidRPr="00464B84">
        <w:t xml:space="preserve"> </w:t>
      </w:r>
      <w:r w:rsidR="00865E2C">
        <w:t xml:space="preserve">данных в </w:t>
      </w:r>
      <w:r w:rsidR="00EC609E">
        <w:t>таблице</w:t>
      </w:r>
      <w:r w:rsidR="00865E2C">
        <w:t xml:space="preserve"> «С</w:t>
      </w:r>
      <w:r w:rsidR="00865E2C" w:rsidRPr="00464B84">
        <w:t>оответстви</w:t>
      </w:r>
      <w:r w:rsidR="00865E2C">
        <w:t xml:space="preserve">е значений» </w:t>
      </w:r>
      <w:r w:rsidR="00865E2C" w:rsidRPr="00464B84">
        <w:t>между данными в столбцах «</w:t>
      </w:r>
      <w:r w:rsidR="00865E2C">
        <w:t>Код з</w:t>
      </w:r>
      <w:r w:rsidR="00865E2C" w:rsidRPr="00464B84">
        <w:t>начени</w:t>
      </w:r>
      <w:r w:rsidR="00865E2C">
        <w:t>я</w:t>
      </w:r>
      <w:r w:rsidR="00865E2C" w:rsidRPr="00464B84">
        <w:t xml:space="preserve"> в файле» и «Значение в системе».</w:t>
      </w:r>
      <w:r w:rsidR="00865E2C">
        <w:t xml:space="preserve"> В строках, где отсутствуют данные «Значение в системе» выбрать соответствие «вручную».</w:t>
      </w:r>
    </w:p>
    <w:p w:rsidR="00865E2C" w:rsidRDefault="00EC609E" w:rsidP="00EC609E">
      <w:pPr>
        <w:pStyle w:val="aa"/>
        <w:ind w:left="170"/>
      </w:pPr>
      <w:r w:rsidRPr="00EC609E">
        <w:rPr>
          <w:rStyle w:val="a7"/>
        </w:rPr>
        <w:t>Важно!</w:t>
      </w:r>
      <w:r>
        <w:t xml:space="preserve"> </w:t>
      </w:r>
      <w:r w:rsidR="00865E2C">
        <w:t>Если напротив значения «Код значения в файле» не установить соответствие «Значение в системе», то данная аналитика будет утеряна при загрузк</w:t>
      </w:r>
      <w:r>
        <w:t>е</w:t>
      </w:r>
      <w:r w:rsidR="00865E2C">
        <w:t xml:space="preserve"> оборотов.</w:t>
      </w:r>
    </w:p>
    <w:p w:rsidR="00EC609E" w:rsidRDefault="00EC609E" w:rsidP="00EC609E">
      <w:pPr>
        <w:pStyle w:val="ae"/>
      </w:pPr>
    </w:p>
    <w:p w:rsidR="00865E2C" w:rsidRDefault="0064139E" w:rsidP="00EC609E">
      <w:pPr>
        <w:pStyle w:val="ae"/>
      </w:pPr>
      <w:r>
        <w:t xml:space="preserve">5.6.) </w:t>
      </w:r>
      <w:r w:rsidR="00865E2C">
        <w:t>Перейти на вкладку «Соответствия по КБК». Заполняется в случае, если значения справочника «КБК» жестко привязаны к значениям справочника «Виды деятельности».</w:t>
      </w:r>
    </w:p>
    <w:p w:rsidR="00865E2C" w:rsidRDefault="00865E2C" w:rsidP="00865E2C">
      <w:pPr>
        <w:pStyle w:val="ab"/>
        <w:rPr>
          <w:rFonts w:cs="Tahoma"/>
          <w:szCs w:val="24"/>
        </w:rPr>
      </w:pPr>
      <w:r>
        <w:rPr>
          <w:lang w:val="ru-RU" w:eastAsia="ru-RU"/>
        </w:rPr>
        <w:lastRenderedPageBreak/>
        <w:drawing>
          <wp:inline distT="0" distB="0" distL="0" distR="0">
            <wp:extent cx="6152515" cy="4043045"/>
            <wp:effectExtent l="19050" t="19050" r="19685" b="14605"/>
            <wp:docPr id="4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043045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5E2C" w:rsidRDefault="00865E2C" w:rsidP="00865E2C">
      <w:pPr>
        <w:pStyle w:val="ac"/>
        <w:rPr>
          <w:lang w:eastAsia="ru-RU"/>
        </w:rPr>
      </w:pPr>
      <w:r>
        <w:t xml:space="preserve">Рис. </w:t>
      </w:r>
      <w:fldSimple w:instr=" SEQ Рис. \* ARABIC ">
        <w:r w:rsidR="00310C81">
          <w:rPr>
            <w:noProof/>
          </w:rPr>
          <w:t>4</w:t>
        </w:r>
      </w:fldSimple>
      <w:r>
        <w:t xml:space="preserve">. </w:t>
      </w:r>
      <w:r>
        <w:rPr>
          <w:lang w:eastAsia="ru-RU"/>
        </w:rPr>
        <w:t>Вкладка «Соответствия по КБК»</w:t>
      </w:r>
    </w:p>
    <w:p w:rsidR="00865E2C" w:rsidRDefault="00EC609E" w:rsidP="00EC609E">
      <w:pPr>
        <w:pStyle w:val="ae"/>
      </w:pPr>
      <w:r>
        <w:t xml:space="preserve">6) </w:t>
      </w:r>
      <w:r w:rsidR="00865E2C">
        <w:t xml:space="preserve">Нажать </w:t>
      </w:r>
      <w:r>
        <w:t xml:space="preserve">на кнопку </w:t>
      </w:r>
      <w:r w:rsidR="00865E2C">
        <w:t>«Сформировать»</w:t>
      </w:r>
      <w:r>
        <w:t>, после чего</w:t>
      </w:r>
      <w:r w:rsidR="00865E2C">
        <w:t xml:space="preserve"> </w:t>
      </w:r>
      <w:r>
        <w:t>п</w:t>
      </w:r>
      <w:r w:rsidR="00865E2C">
        <w:t xml:space="preserve">роцесс </w:t>
      </w:r>
      <w:r>
        <w:t>переходит</w:t>
      </w:r>
      <w:r w:rsidR="00865E2C">
        <w:t xml:space="preserve"> в фоновый режим.</w:t>
      </w:r>
    </w:p>
    <w:p w:rsidR="00865E2C" w:rsidRDefault="00EC609E" w:rsidP="00EC609E">
      <w:pPr>
        <w:pStyle w:val="ae"/>
      </w:pPr>
      <w:r>
        <w:t xml:space="preserve">7) </w:t>
      </w:r>
      <w:r w:rsidR="00865E2C">
        <w:t xml:space="preserve">В главном окне Системы в </w:t>
      </w:r>
      <w:proofErr w:type="spellStart"/>
      <w:r w:rsidR="002C6B86">
        <w:t>Виджетах</w:t>
      </w:r>
      <w:proofErr w:type="spellEnd"/>
      <w:r w:rsidR="002C6B86">
        <w:t xml:space="preserve"> в области «Загрузки»</w:t>
      </w:r>
      <w:r w:rsidR="00865E2C">
        <w:t xml:space="preserve">, дождаться, когда </w:t>
      </w:r>
      <w:r w:rsidR="002C6B86">
        <w:t>возле</w:t>
      </w:r>
      <w:r>
        <w:t xml:space="preserve"> операции «Преобразование аналитики» </w:t>
      </w:r>
      <w:r w:rsidR="00865E2C">
        <w:t xml:space="preserve">появится кнопка «Результат», </w:t>
      </w:r>
      <w:r>
        <w:t xml:space="preserve">и затем </w:t>
      </w:r>
      <w:r w:rsidR="00865E2C">
        <w:t>нажать на нее</w:t>
      </w:r>
      <w:r>
        <w:t>.</w:t>
      </w:r>
    </w:p>
    <w:p w:rsidR="00865E2C" w:rsidRDefault="002C6B86" w:rsidP="00865E2C">
      <w:pPr>
        <w:pStyle w:val="ab"/>
        <w:rPr>
          <w:rFonts w:cs="Tahoma"/>
          <w:szCs w:val="24"/>
        </w:rPr>
      </w:pPr>
      <w:r>
        <w:rPr>
          <w:rFonts w:cs="Tahoma"/>
          <w:szCs w:val="24"/>
          <w:lang w:val="ru-RU" w:eastAsia="ru-RU"/>
        </w:rPr>
        <w:drawing>
          <wp:inline distT="0" distB="0" distL="0" distR="0">
            <wp:extent cx="3695700" cy="2114550"/>
            <wp:effectExtent l="19050" t="0" r="0" b="0"/>
            <wp:docPr id="5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E2C" w:rsidRDefault="00865E2C" w:rsidP="00865E2C">
      <w:pPr>
        <w:pStyle w:val="ac"/>
      </w:pPr>
      <w:r>
        <w:t>Рис</w:t>
      </w:r>
      <w:r w:rsidR="002C6B86">
        <w:t>.</w:t>
      </w:r>
      <w:r>
        <w:t xml:space="preserve"> </w:t>
      </w:r>
      <w:fldSimple w:instr=" SEQ Рис. \* ARABIC ">
        <w:r w:rsidR="00310C81">
          <w:rPr>
            <w:noProof/>
          </w:rPr>
          <w:t>5</w:t>
        </w:r>
      </w:fldSimple>
      <w:r>
        <w:t xml:space="preserve">. </w:t>
      </w:r>
      <w:r w:rsidR="002C6B86">
        <w:t>Кнопка «Результат»</w:t>
      </w:r>
    </w:p>
    <w:p w:rsidR="00865E2C" w:rsidRDefault="002C6B86" w:rsidP="002C6B86">
      <w:pPr>
        <w:pStyle w:val="ae"/>
      </w:pPr>
      <w:r>
        <w:t xml:space="preserve">8) </w:t>
      </w:r>
      <w:r w:rsidR="000C4047">
        <w:t>Открывается отчет</w:t>
      </w:r>
      <w:r w:rsidR="00865E2C">
        <w:t xml:space="preserve"> о результатах преобразования </w:t>
      </w:r>
      <w:r w:rsidR="00865E2C">
        <w:rPr>
          <w:lang w:val="en-US"/>
        </w:rPr>
        <w:t>XML</w:t>
      </w:r>
      <w:r w:rsidR="00865E2C">
        <w:t>-файла.</w:t>
      </w:r>
    </w:p>
    <w:p w:rsidR="00865E2C" w:rsidRPr="002C6B86" w:rsidRDefault="00865E2C" w:rsidP="00865E2C">
      <w:pPr>
        <w:pStyle w:val="ab"/>
        <w:rPr>
          <w:rFonts w:cs="Tahoma"/>
          <w:szCs w:val="24"/>
          <w:lang w:val="ru-RU"/>
        </w:rPr>
      </w:pPr>
      <w:r>
        <w:rPr>
          <w:lang w:val="ru-RU" w:eastAsia="ru-RU"/>
        </w:rPr>
        <w:lastRenderedPageBreak/>
        <w:drawing>
          <wp:inline distT="0" distB="0" distL="0" distR="0">
            <wp:extent cx="6152515" cy="2496820"/>
            <wp:effectExtent l="19050" t="19050" r="19685" b="17780"/>
            <wp:docPr id="4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96820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5E2C" w:rsidRDefault="00865E2C" w:rsidP="00865E2C">
      <w:pPr>
        <w:pStyle w:val="ac"/>
      </w:pPr>
      <w:r>
        <w:t xml:space="preserve">Рис. </w:t>
      </w:r>
      <w:fldSimple w:instr=" SEQ Рис. \* ARABIC ">
        <w:r w:rsidR="00310C81">
          <w:rPr>
            <w:noProof/>
          </w:rPr>
          <w:t>6</w:t>
        </w:r>
      </w:fldSimple>
      <w:r>
        <w:t xml:space="preserve">. Результат преобразования </w:t>
      </w:r>
      <w:r>
        <w:rPr>
          <w:lang w:val="en-US"/>
        </w:rPr>
        <w:t>XML</w:t>
      </w:r>
      <w:r>
        <w:t>-файла</w:t>
      </w:r>
    </w:p>
    <w:p w:rsidR="00865E2C" w:rsidRDefault="00865E2C" w:rsidP="00865E2C">
      <w:pPr>
        <w:spacing w:after="0" w:line="360" w:lineRule="auto"/>
        <w:ind w:firstLine="709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Результаты можно распечатать (кнопка «Печать» в правом верхнем углу сообщения), просмотреть и закрыть (кнопка «Закрыть»).</w:t>
      </w:r>
      <w:r w:rsidRPr="00C52FC0">
        <w:rPr>
          <w:rFonts w:ascii="Tahoma" w:hAnsi="Tahoma" w:cs="Tahoma"/>
          <w:szCs w:val="24"/>
        </w:rPr>
        <w:t xml:space="preserve"> </w:t>
      </w:r>
    </w:p>
    <w:p w:rsidR="00865E2C" w:rsidRDefault="00865E2C" w:rsidP="00865E2C">
      <w:pPr>
        <w:spacing w:after="0" w:line="360" w:lineRule="auto"/>
        <w:ind w:firstLine="709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Для сохранения преобразованного </w:t>
      </w:r>
      <w:r>
        <w:rPr>
          <w:rFonts w:ascii="Tahoma" w:hAnsi="Tahoma" w:cs="Tahoma"/>
          <w:szCs w:val="24"/>
          <w:lang w:val="en-US"/>
        </w:rPr>
        <w:t>XML</w:t>
      </w:r>
      <w:r w:rsidRPr="00C52FC0"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 xml:space="preserve">файла (рекомендуется) нажмите </w:t>
      </w:r>
      <w:r w:rsidR="002C6B86">
        <w:rPr>
          <w:rFonts w:ascii="Tahoma" w:hAnsi="Tahoma" w:cs="Tahoma"/>
          <w:szCs w:val="24"/>
        </w:rPr>
        <w:t xml:space="preserve">на </w:t>
      </w:r>
      <w:r>
        <w:rPr>
          <w:rFonts w:ascii="Tahoma" w:hAnsi="Tahoma" w:cs="Tahoma"/>
          <w:szCs w:val="24"/>
        </w:rPr>
        <w:t xml:space="preserve">кнопку «Скачать файл», </w:t>
      </w:r>
      <w:r w:rsidR="002C6B86">
        <w:rPr>
          <w:rFonts w:ascii="Tahoma" w:hAnsi="Tahoma" w:cs="Tahoma"/>
          <w:szCs w:val="24"/>
        </w:rPr>
        <w:t xml:space="preserve">затем кнопку </w:t>
      </w:r>
      <w:r>
        <w:rPr>
          <w:rFonts w:ascii="Tahoma" w:hAnsi="Tahoma" w:cs="Tahoma"/>
          <w:szCs w:val="24"/>
        </w:rPr>
        <w:t>«Сохранить»</w:t>
      </w:r>
      <w:r w:rsidR="002C6B86">
        <w:rPr>
          <w:rFonts w:ascii="Tahoma" w:hAnsi="Tahoma" w:cs="Tahoma"/>
          <w:szCs w:val="24"/>
        </w:rPr>
        <w:t xml:space="preserve"> и</w:t>
      </w:r>
      <w:r>
        <w:rPr>
          <w:rFonts w:ascii="Tahoma" w:hAnsi="Tahoma" w:cs="Tahoma"/>
          <w:szCs w:val="24"/>
        </w:rPr>
        <w:t xml:space="preserve"> укажите путь сохранения файла. Преобразованный </w:t>
      </w:r>
      <w:r>
        <w:rPr>
          <w:rFonts w:ascii="Tahoma" w:hAnsi="Tahoma" w:cs="Tahoma"/>
          <w:szCs w:val="24"/>
          <w:lang w:val="en-US"/>
        </w:rPr>
        <w:t>XML</w:t>
      </w:r>
      <w:r w:rsidRPr="00C52FC0"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 xml:space="preserve">файл имеет имя </w:t>
      </w:r>
      <w:r w:rsidR="002C6B86">
        <w:rPr>
          <w:rFonts w:ascii="Tahoma" w:hAnsi="Tahoma" w:cs="Tahoma"/>
          <w:szCs w:val="24"/>
        </w:rPr>
        <w:t>в</w:t>
      </w:r>
      <w:r>
        <w:rPr>
          <w:rFonts w:ascii="Tahoma" w:hAnsi="Tahoma" w:cs="Tahoma"/>
          <w:szCs w:val="24"/>
        </w:rPr>
        <w:t>и</w:t>
      </w:r>
      <w:r w:rsidR="002C6B86">
        <w:rPr>
          <w:rFonts w:ascii="Tahoma" w:hAnsi="Tahoma" w:cs="Tahoma"/>
          <w:szCs w:val="24"/>
        </w:rPr>
        <w:t>д</w:t>
      </w:r>
      <w:r>
        <w:rPr>
          <w:rFonts w:ascii="Tahoma" w:hAnsi="Tahoma" w:cs="Tahoma"/>
          <w:szCs w:val="24"/>
        </w:rPr>
        <w:t>а «</w:t>
      </w:r>
      <w:proofErr w:type="spellStart"/>
      <w:r>
        <w:rPr>
          <w:rFonts w:ascii="Tahoma" w:hAnsi="Tahoma" w:cs="Tahoma"/>
          <w:szCs w:val="24"/>
          <w:lang w:val="en-US"/>
        </w:rPr>
        <w:t>WSNxxxxxxxx</w:t>
      </w:r>
      <w:proofErr w:type="spellEnd"/>
      <w:r w:rsidRPr="002C6B86">
        <w:rPr>
          <w:rFonts w:ascii="Tahoma" w:hAnsi="Tahoma" w:cs="Tahoma"/>
          <w:szCs w:val="24"/>
        </w:rPr>
        <w:t>-</w:t>
      </w:r>
      <w:proofErr w:type="spellStart"/>
      <w:r>
        <w:rPr>
          <w:rFonts w:ascii="Tahoma" w:hAnsi="Tahoma" w:cs="Tahoma"/>
          <w:szCs w:val="24"/>
          <w:lang w:val="en-US"/>
        </w:rPr>
        <w:t>xxxx</w:t>
      </w:r>
      <w:proofErr w:type="spellEnd"/>
      <w:r w:rsidRPr="002C6B86"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  <w:lang w:val="en-US"/>
        </w:rPr>
        <w:t>xx</w:t>
      </w:r>
      <w:r>
        <w:rPr>
          <w:rFonts w:ascii="Tahoma" w:hAnsi="Tahoma" w:cs="Tahoma"/>
          <w:szCs w:val="24"/>
        </w:rPr>
        <w:t>».</w:t>
      </w:r>
    </w:p>
    <w:p w:rsidR="00865E2C" w:rsidRDefault="002C6B86" w:rsidP="002C6B86">
      <w:pPr>
        <w:pStyle w:val="aa"/>
        <w:ind w:left="170"/>
      </w:pPr>
      <w:r w:rsidRPr="002C6B86">
        <w:rPr>
          <w:rStyle w:val="a9"/>
        </w:rPr>
        <w:t>Примечание.</w:t>
      </w:r>
      <w:r>
        <w:t xml:space="preserve"> Существует в</w:t>
      </w:r>
      <w:r w:rsidR="00865E2C">
        <w:t>озможно</w:t>
      </w:r>
      <w:r>
        <w:t>сть</w:t>
      </w:r>
      <w:r w:rsidR="00865E2C">
        <w:t xml:space="preserve"> сразу перейти к этапу загрузки оборотов, нажав на кнопку «Отправить на загрузку», </w:t>
      </w:r>
      <w:r>
        <w:t xml:space="preserve">после чего </w:t>
      </w:r>
      <w:r w:rsidR="00865E2C">
        <w:t>откр</w:t>
      </w:r>
      <w:r>
        <w:t>ыва</w:t>
      </w:r>
      <w:r w:rsidR="00865E2C">
        <w:t>ется окно настройки загрузки</w:t>
      </w:r>
      <w:r>
        <w:t xml:space="preserve"> (</w:t>
      </w:r>
      <w:r w:rsidR="00CB5FE8">
        <w:fldChar w:fldCharType="begin"/>
      </w:r>
      <w:r>
        <w:instrText xml:space="preserve"> REF _Ref10105744 \h </w:instrText>
      </w:r>
      <w:r w:rsidR="00CB5FE8">
        <w:fldChar w:fldCharType="separate"/>
      </w:r>
      <w:r w:rsidR="00310C81" w:rsidRPr="005D0531">
        <w:t>Рис.</w:t>
      </w:r>
      <w:r w:rsidR="00310C81">
        <w:t xml:space="preserve"> </w:t>
      </w:r>
      <w:r w:rsidR="00310C81">
        <w:rPr>
          <w:noProof/>
        </w:rPr>
        <w:t>8</w:t>
      </w:r>
      <w:r w:rsidR="00CB5FE8">
        <w:fldChar w:fldCharType="end"/>
      </w:r>
      <w:r>
        <w:t>)</w:t>
      </w:r>
      <w:r w:rsidR="00865E2C">
        <w:t>.</w:t>
      </w:r>
    </w:p>
    <w:p w:rsidR="00865E2C" w:rsidRPr="00BF4ECF" w:rsidRDefault="00865E2C" w:rsidP="002C6B86">
      <w:pPr>
        <w:pStyle w:val="ae"/>
      </w:pPr>
    </w:p>
    <w:p w:rsidR="00865E2C" w:rsidRPr="00865E2C" w:rsidRDefault="00865E2C" w:rsidP="00865E2C">
      <w:pPr>
        <w:pStyle w:val="1"/>
        <w:rPr>
          <w:szCs w:val="24"/>
        </w:rPr>
      </w:pPr>
      <w:bookmarkStart w:id="3" w:name="_Ref10107967"/>
      <w:bookmarkStart w:id="4" w:name="_Toc10108116"/>
      <w:r w:rsidRPr="00865E2C">
        <w:rPr>
          <w:szCs w:val="24"/>
        </w:rPr>
        <w:lastRenderedPageBreak/>
        <w:t>Загрузка оборотов в подсистему «Бухгалтерия»</w:t>
      </w:r>
      <w:bookmarkEnd w:id="3"/>
      <w:bookmarkEnd w:id="4"/>
    </w:p>
    <w:p w:rsidR="002C6B86" w:rsidRDefault="002C6B86" w:rsidP="002C6B86">
      <w:pPr>
        <w:pStyle w:val="ae"/>
      </w:pPr>
      <w:r>
        <w:t xml:space="preserve">Порядок загрузки </w:t>
      </w:r>
      <w:r w:rsidRPr="002C6B86">
        <w:t>оборотов</w:t>
      </w:r>
      <w:r>
        <w:t>:</w:t>
      </w:r>
    </w:p>
    <w:p w:rsidR="00865E2C" w:rsidRDefault="002C6B86" w:rsidP="002C6B86">
      <w:pPr>
        <w:pStyle w:val="ae"/>
      </w:pPr>
      <w:r>
        <w:t xml:space="preserve">1) </w:t>
      </w:r>
      <w:r w:rsidR="00865E2C">
        <w:t xml:space="preserve">Выполнить вход </w:t>
      </w:r>
      <w:r w:rsidR="00D063EA">
        <w:t>в подсистему «Бухгалтерия»</w:t>
      </w:r>
      <w:r w:rsidR="00865E2C">
        <w:t>.</w:t>
      </w:r>
    </w:p>
    <w:p w:rsidR="002C6B86" w:rsidRDefault="002C6B86" w:rsidP="002C6B86">
      <w:pPr>
        <w:pStyle w:val="aa"/>
      </w:pPr>
      <w:r w:rsidRPr="00D46F90">
        <w:rPr>
          <w:rStyle w:val="a7"/>
        </w:rPr>
        <w:t>Важно!</w:t>
      </w:r>
      <w:r>
        <w:t xml:space="preserve"> ИНН и КПП в преобразуемом файле должно совпадать с ИНН и КПП выбранного в подсистеме «Бухгалтерия» учреждения, в противном случае система выдаст сообщение о несоответствии.</w:t>
      </w:r>
    </w:p>
    <w:p w:rsidR="002C6B86" w:rsidRDefault="002C6B86" w:rsidP="002C6B86">
      <w:pPr>
        <w:pStyle w:val="ae"/>
        <w:rPr>
          <w:bCs/>
          <w:lang w:eastAsia="ru-RU"/>
        </w:rPr>
      </w:pPr>
    </w:p>
    <w:p w:rsidR="009263BE" w:rsidRDefault="002C6B86" w:rsidP="002C6B86">
      <w:pPr>
        <w:pStyle w:val="ae"/>
      </w:pPr>
      <w:r>
        <w:t xml:space="preserve">2) </w:t>
      </w:r>
      <w:r w:rsidR="009263BE">
        <w:t>Выбрать</w:t>
      </w:r>
      <w:r>
        <w:t xml:space="preserve"> пункт меню </w:t>
      </w:r>
      <w:r w:rsidRPr="00D063EA">
        <w:rPr>
          <w:rStyle w:val="15"/>
        </w:rPr>
        <w:t xml:space="preserve">[Администрирование/ Реестр загрузок/ </w:t>
      </w:r>
      <w:r w:rsidR="009263BE" w:rsidRPr="00D063EA">
        <w:rPr>
          <w:rStyle w:val="15"/>
        </w:rPr>
        <w:t xml:space="preserve">Реестр </w:t>
      </w:r>
      <w:r w:rsidR="009263BE">
        <w:rPr>
          <w:rStyle w:val="15"/>
        </w:rPr>
        <w:t>з</w:t>
      </w:r>
      <w:r w:rsidRPr="002C6B86">
        <w:rPr>
          <w:rStyle w:val="15"/>
        </w:rPr>
        <w:t>агрузк</w:t>
      </w:r>
      <w:r w:rsidR="009263BE">
        <w:rPr>
          <w:rStyle w:val="15"/>
        </w:rPr>
        <w:t>и</w:t>
      </w:r>
      <w:r w:rsidRPr="002C6B86">
        <w:rPr>
          <w:rStyle w:val="15"/>
        </w:rPr>
        <w:t xml:space="preserve"> оборотов</w:t>
      </w:r>
      <w:r w:rsidRPr="00D063EA">
        <w:rPr>
          <w:rStyle w:val="15"/>
        </w:rPr>
        <w:t>]</w:t>
      </w:r>
      <w:r>
        <w:t xml:space="preserve">, </w:t>
      </w:r>
      <w:r w:rsidR="009263BE">
        <w:t>после чего открывается реестр «Обороты».</w:t>
      </w:r>
    </w:p>
    <w:p w:rsidR="009263BE" w:rsidRDefault="009263BE" w:rsidP="009263BE">
      <w:pPr>
        <w:pStyle w:val="ab"/>
        <w:rPr>
          <w:rFonts w:cs="Tahoma"/>
          <w:szCs w:val="24"/>
        </w:rPr>
      </w:pPr>
      <w:r>
        <w:rPr>
          <w:rFonts w:cs="Tahoma"/>
          <w:szCs w:val="24"/>
          <w:lang w:val="ru-RU" w:eastAsia="ru-RU"/>
        </w:rPr>
        <w:drawing>
          <wp:inline distT="0" distB="0" distL="0" distR="0">
            <wp:extent cx="6443980" cy="1889931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188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3BE" w:rsidRDefault="009263BE" w:rsidP="009263BE">
      <w:pPr>
        <w:pStyle w:val="ac"/>
      </w:pPr>
      <w:r>
        <w:t xml:space="preserve">Рис. </w:t>
      </w:r>
      <w:fldSimple w:instr=" SEQ Рис. \* ARABIC ">
        <w:r>
          <w:rPr>
            <w:noProof/>
          </w:rPr>
          <w:t>7</w:t>
        </w:r>
      </w:fldSimple>
      <w:r>
        <w:t>. Реестр «Обороты»</w:t>
      </w:r>
    </w:p>
    <w:p w:rsidR="002C6B86" w:rsidRDefault="009263BE" w:rsidP="002C6B86">
      <w:pPr>
        <w:pStyle w:val="ae"/>
      </w:pPr>
      <w:r>
        <w:t xml:space="preserve">3) Нажать на кнопку </w:t>
      </w:r>
      <w:r>
        <w:rPr>
          <w:noProof/>
          <w:lang w:eastAsia="ru-RU"/>
        </w:rPr>
        <w:drawing>
          <wp:inline distT="0" distB="0" distL="0" distR="0">
            <wp:extent cx="219075" cy="152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и выбрать пункт «Загрузка данных из </w:t>
      </w:r>
      <w:r>
        <w:rPr>
          <w:lang w:val="en-US"/>
        </w:rPr>
        <w:t>XML</w:t>
      </w:r>
      <w:r>
        <w:t xml:space="preserve">-файла», </w:t>
      </w:r>
      <w:r w:rsidR="002C6B86">
        <w:t xml:space="preserve">после чего открывается окно «Загрузка данных из </w:t>
      </w:r>
      <w:r w:rsidR="002C6B86">
        <w:rPr>
          <w:lang w:val="en-US"/>
        </w:rPr>
        <w:t>XML</w:t>
      </w:r>
      <w:r w:rsidR="002C6B86">
        <w:t>-файла».</w:t>
      </w:r>
    </w:p>
    <w:p w:rsidR="00865E2C" w:rsidRDefault="00865E2C" w:rsidP="00865E2C">
      <w:pPr>
        <w:pStyle w:val="ab"/>
        <w:rPr>
          <w:rFonts w:cs="Tahoma"/>
          <w:szCs w:val="24"/>
        </w:rPr>
      </w:pPr>
      <w:r>
        <w:rPr>
          <w:lang w:val="ru-RU" w:eastAsia="ru-RU"/>
        </w:rPr>
        <w:drawing>
          <wp:inline distT="0" distB="0" distL="0" distR="0">
            <wp:extent cx="3371429" cy="1342857"/>
            <wp:effectExtent l="19050" t="19050" r="19471" b="9693"/>
            <wp:docPr id="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71429" cy="1342857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5E2C" w:rsidRDefault="00865E2C" w:rsidP="00865E2C">
      <w:pPr>
        <w:pStyle w:val="ac"/>
      </w:pPr>
      <w:r>
        <w:t xml:space="preserve">Рис. </w:t>
      </w:r>
      <w:fldSimple w:instr=" SEQ Рис. \* ARABIC ">
        <w:r w:rsidR="00310C81">
          <w:rPr>
            <w:noProof/>
          </w:rPr>
          <w:t>7</w:t>
        </w:r>
      </w:fldSimple>
      <w:r>
        <w:t xml:space="preserve">. Окно </w:t>
      </w:r>
      <w:r w:rsidR="002C6B86">
        <w:t xml:space="preserve">«Загрузка данных из </w:t>
      </w:r>
      <w:r w:rsidR="002C6B86">
        <w:rPr>
          <w:lang w:val="en-US"/>
        </w:rPr>
        <w:t>XML</w:t>
      </w:r>
      <w:r w:rsidR="002C6B86">
        <w:t>-файла»</w:t>
      </w:r>
    </w:p>
    <w:p w:rsidR="00865E2C" w:rsidRDefault="002C6B86" w:rsidP="002C6B86">
      <w:pPr>
        <w:pStyle w:val="ae"/>
        <w:rPr>
          <w:rFonts w:cs="Tahoma"/>
        </w:rPr>
      </w:pPr>
      <w:r>
        <w:rPr>
          <w:lang w:eastAsia="ru-RU"/>
        </w:rPr>
        <w:t xml:space="preserve">3) </w:t>
      </w:r>
      <w:r>
        <w:t xml:space="preserve">Нажать на кнопку </w:t>
      </w:r>
      <w:r>
        <w:rPr>
          <w:noProof/>
          <w:lang w:eastAsia="ru-RU"/>
        </w:rPr>
        <w:drawing>
          <wp:inline distT="0" distB="0" distL="0" distR="0">
            <wp:extent cx="209550" cy="209550"/>
            <wp:effectExtent l="19050" t="0" r="0" b="0"/>
            <wp:docPr id="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и выбрать файл выгрузки из 1С с именем «</w:t>
      </w:r>
      <w:proofErr w:type="spellStart"/>
      <w:proofErr w:type="gramStart"/>
      <w:r w:rsidRPr="001A445A">
        <w:t>WSN</w:t>
      </w:r>
      <w:proofErr w:type="gramEnd"/>
      <w:r>
        <w:t>хххххх</w:t>
      </w:r>
      <w:proofErr w:type="spellEnd"/>
      <w:r>
        <w:t>».</w:t>
      </w:r>
    </w:p>
    <w:p w:rsidR="001327A5" w:rsidRPr="001327A5" w:rsidRDefault="001327A5" w:rsidP="001327A5">
      <w:pPr>
        <w:pStyle w:val="ae"/>
      </w:pPr>
      <w:r w:rsidRPr="001327A5">
        <w:t>4) Нажать на кнопку «Далее», после чего открывается окно «Настройка загрузки оборотов из XML-файла» (</w:t>
      </w:r>
      <w:fldSimple w:instr=" REF _Ref10105744 \h  \* MERGEFORMAT ">
        <w:r w:rsidR="00310C81" w:rsidRPr="005D0531">
          <w:t>Рис.</w:t>
        </w:r>
        <w:r w:rsidR="00310C81">
          <w:t xml:space="preserve"> 8</w:t>
        </w:r>
      </w:fldSimple>
      <w:r w:rsidRPr="001327A5">
        <w:t>), в котором необходимо сопоставить аналитические справочники подсистемы «Бухгалтерия» с пользовательской аналитикой из загружаемого файла.</w:t>
      </w:r>
    </w:p>
    <w:p w:rsidR="00865E2C" w:rsidRDefault="00865E2C" w:rsidP="00865E2C">
      <w:pPr>
        <w:pStyle w:val="ab"/>
        <w:rPr>
          <w:rFonts w:cs="Tahoma"/>
          <w:szCs w:val="24"/>
        </w:rPr>
      </w:pPr>
      <w:r>
        <w:rPr>
          <w:lang w:val="ru-RU" w:eastAsia="ru-RU"/>
        </w:rPr>
        <w:lastRenderedPageBreak/>
        <w:drawing>
          <wp:inline distT="0" distB="0" distL="0" distR="0">
            <wp:extent cx="4685714" cy="4535714"/>
            <wp:effectExtent l="19050" t="19050" r="19636" b="17236"/>
            <wp:docPr id="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4535714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5E2C" w:rsidRDefault="00865E2C" w:rsidP="00865E2C">
      <w:pPr>
        <w:pStyle w:val="ac"/>
      </w:pPr>
      <w:bookmarkStart w:id="5" w:name="_Ref10105744"/>
      <w:r w:rsidRPr="005D0531">
        <w:t>Рис.</w:t>
      </w:r>
      <w:r>
        <w:t xml:space="preserve"> </w:t>
      </w:r>
      <w:fldSimple w:instr=" SEQ Рис. \* ARABIC ">
        <w:r w:rsidR="00310C81">
          <w:rPr>
            <w:noProof/>
          </w:rPr>
          <w:t>8</w:t>
        </w:r>
      </w:fldSimple>
      <w:bookmarkEnd w:id="5"/>
      <w:r>
        <w:t>.</w:t>
      </w:r>
      <w:r w:rsidRPr="005D0531">
        <w:t xml:space="preserve"> </w:t>
      </w:r>
      <w:r>
        <w:t>Вкладка «Соответствия КБК, КВД, Ед. измерения»</w:t>
      </w:r>
    </w:p>
    <w:p w:rsidR="001327A5" w:rsidRPr="00C65EF2" w:rsidRDefault="001327A5" w:rsidP="00C65EF2">
      <w:pPr>
        <w:pStyle w:val="ae"/>
      </w:pPr>
      <w:r w:rsidRPr="00C65EF2">
        <w:t xml:space="preserve">5) Порядок сопоставления </w:t>
      </w:r>
      <w:r w:rsidR="00C65EF2" w:rsidRPr="00C65EF2">
        <w:t>пользовательской аналитики</w:t>
      </w:r>
      <w:r w:rsidRPr="00C65EF2">
        <w:t>:</w:t>
      </w:r>
    </w:p>
    <w:p w:rsidR="00865E2C" w:rsidRPr="00E237C4" w:rsidRDefault="00C65EF2" w:rsidP="00C65EF2">
      <w:pPr>
        <w:pStyle w:val="ae"/>
      </w:pPr>
      <w:r>
        <w:t xml:space="preserve">5.1) В поле </w:t>
      </w:r>
      <w:r w:rsidR="00865E2C" w:rsidRPr="00E237C4">
        <w:t>«Дат</w:t>
      </w:r>
      <w:r>
        <w:t>а</w:t>
      </w:r>
      <w:r w:rsidR="00865E2C" w:rsidRPr="00E237C4">
        <w:t xml:space="preserve"> актуальности справочников</w:t>
      </w:r>
      <w:r>
        <w:t>»</w:t>
      </w:r>
      <w:r w:rsidR="00865E2C" w:rsidRPr="00E237C4">
        <w:t xml:space="preserve"> </w:t>
      </w:r>
      <w:r>
        <w:t>– у</w:t>
      </w:r>
      <w:r w:rsidRPr="00E237C4">
        <w:t xml:space="preserve">становить </w:t>
      </w:r>
      <w:r w:rsidR="00865E2C" w:rsidRPr="00E237C4">
        <w:t>дат</w:t>
      </w:r>
      <w:r>
        <w:t>у</w:t>
      </w:r>
      <w:r w:rsidR="00865E2C" w:rsidRPr="00E237C4">
        <w:t xml:space="preserve">, на которую будут проставляться значения справочников из </w:t>
      </w:r>
      <w:r>
        <w:t xml:space="preserve">подсистемы </w:t>
      </w:r>
      <w:r w:rsidR="00865E2C" w:rsidRPr="00E237C4">
        <w:t>«Бухгалтерия».</w:t>
      </w:r>
    </w:p>
    <w:p w:rsidR="00865E2C" w:rsidRDefault="00C65EF2" w:rsidP="00C65EF2">
      <w:pPr>
        <w:pStyle w:val="ae"/>
      </w:pPr>
      <w:r>
        <w:t>5.2) В поле</w:t>
      </w:r>
      <w:r w:rsidR="00865E2C">
        <w:t xml:space="preserve"> «</w:t>
      </w:r>
      <w:r>
        <w:t xml:space="preserve">Добавлять </w:t>
      </w:r>
      <w:r w:rsidR="00865E2C">
        <w:t xml:space="preserve">новые записи» </w:t>
      </w:r>
      <w:r>
        <w:t>рекомендуется установить «галочку»</w:t>
      </w:r>
      <w:r w:rsidR="00865E2C">
        <w:t xml:space="preserve">. Если «галочка» не </w:t>
      </w:r>
      <w:r>
        <w:t>установлена</w:t>
      </w:r>
      <w:r w:rsidR="00865E2C">
        <w:t>, то при повторной загрузк</w:t>
      </w:r>
      <w:r>
        <w:t>е</w:t>
      </w:r>
      <w:r w:rsidR="00865E2C">
        <w:t xml:space="preserve"> данных за один и тот же период произойдет их «</w:t>
      </w:r>
      <w:proofErr w:type="spellStart"/>
      <w:r w:rsidR="00865E2C">
        <w:t>задвоение</w:t>
      </w:r>
      <w:proofErr w:type="spellEnd"/>
      <w:r w:rsidR="00865E2C">
        <w:t>».</w:t>
      </w:r>
    </w:p>
    <w:p w:rsidR="00865E2C" w:rsidRDefault="00C65EF2" w:rsidP="00C65EF2">
      <w:pPr>
        <w:pStyle w:val="ae"/>
      </w:pPr>
      <w:r>
        <w:t xml:space="preserve">5.3) </w:t>
      </w:r>
      <w:r w:rsidR="00865E2C">
        <w:t xml:space="preserve">Нажать </w:t>
      </w:r>
      <w:r>
        <w:t xml:space="preserve">на кнопку </w:t>
      </w:r>
      <w:r w:rsidR="00865E2C">
        <w:t>«</w:t>
      </w:r>
      <w:proofErr w:type="spellStart"/>
      <w:r w:rsidR="00865E2C">
        <w:t>Автоподбор</w:t>
      </w:r>
      <w:proofErr w:type="spellEnd"/>
      <w:r w:rsidR="00865E2C">
        <w:t xml:space="preserve"> значений» для автоматического сопоставления аналитических справочников программ.</w:t>
      </w:r>
    </w:p>
    <w:p w:rsidR="00865E2C" w:rsidRDefault="00C65EF2" w:rsidP="00C65EF2">
      <w:pPr>
        <w:pStyle w:val="ae"/>
      </w:pPr>
      <w:r>
        <w:t xml:space="preserve">5.4) </w:t>
      </w:r>
      <w:r w:rsidR="00865E2C">
        <w:t>П</w:t>
      </w:r>
      <w:r w:rsidR="00865E2C" w:rsidRPr="00464B84">
        <w:t>роставить все соответствия между данными в столбцах «Значение в файле» и «Значение в системе»</w:t>
      </w:r>
      <w:r>
        <w:t>:</w:t>
      </w:r>
    </w:p>
    <w:p w:rsidR="000C4047" w:rsidRPr="00464B84" w:rsidRDefault="000C4047" w:rsidP="00C65EF2">
      <w:pPr>
        <w:pStyle w:val="ae"/>
      </w:pPr>
    </w:p>
    <w:p w:rsidR="00865E2C" w:rsidRDefault="00C65EF2" w:rsidP="00C65EF2">
      <w:pPr>
        <w:pStyle w:val="phlistitemized1"/>
      </w:pPr>
      <w:r>
        <w:t xml:space="preserve">На вкладке </w:t>
      </w:r>
      <w:r w:rsidR="00865E2C">
        <w:t>«Соответствия КБК, КВД, Ед. измерения»</w:t>
      </w:r>
      <w:r w:rsidR="000C4047">
        <w:t xml:space="preserve"> (</w:t>
      </w:r>
      <w:r w:rsidR="00CB5FE8">
        <w:fldChar w:fldCharType="begin"/>
      </w:r>
      <w:r w:rsidR="000C4047">
        <w:instrText xml:space="preserve"> REF _Ref10105744 \h </w:instrText>
      </w:r>
      <w:r w:rsidR="00CB5FE8">
        <w:fldChar w:fldCharType="separate"/>
      </w:r>
      <w:r w:rsidR="00310C81" w:rsidRPr="005D0531">
        <w:t>Рис.</w:t>
      </w:r>
      <w:r w:rsidR="00310C81">
        <w:t xml:space="preserve"> </w:t>
      </w:r>
      <w:r w:rsidR="00310C81">
        <w:rPr>
          <w:noProof/>
        </w:rPr>
        <w:t>8</w:t>
      </w:r>
      <w:r w:rsidR="00CB5FE8">
        <w:fldChar w:fldCharType="end"/>
      </w:r>
      <w:r w:rsidR="000C4047">
        <w:t>)</w:t>
      </w:r>
      <w:r w:rsidR="00865E2C">
        <w:t>:</w:t>
      </w:r>
    </w:p>
    <w:p w:rsidR="00865E2C" w:rsidRPr="00C65EF2" w:rsidRDefault="00C65EF2" w:rsidP="00C65EF2">
      <w:pPr>
        <w:pStyle w:val="phlistitemized2"/>
      </w:pPr>
      <w:r w:rsidRPr="00C65EF2">
        <w:t xml:space="preserve">В таблице </w:t>
      </w:r>
      <w:r w:rsidR="00865E2C" w:rsidRPr="00C65EF2">
        <w:t xml:space="preserve">«Соответствие КБК» проставить соответствие значений КБК из файла загрузки значениям справочника «КБК» </w:t>
      </w:r>
      <w:r w:rsidR="00D063EA" w:rsidRPr="00C65EF2">
        <w:t>в подсистеме «Бухгалтерия»</w:t>
      </w:r>
      <w:r w:rsidR="00865E2C" w:rsidRPr="00C65EF2">
        <w:t>.</w:t>
      </w:r>
    </w:p>
    <w:p w:rsidR="00865E2C" w:rsidRDefault="00C65EF2" w:rsidP="00C65EF2">
      <w:pPr>
        <w:pStyle w:val="phlistitemized2"/>
      </w:pPr>
      <w:r>
        <w:lastRenderedPageBreak/>
        <w:t xml:space="preserve">В таблице </w:t>
      </w:r>
      <w:r w:rsidR="00865E2C">
        <w:t xml:space="preserve">«Соответствие видов деятельности» проставить соответствия значений в файле значениям справочника «Виды деятельности». Если </w:t>
      </w:r>
      <w:r w:rsidR="00D063EA" w:rsidRPr="00D063EA">
        <w:t>в подсистем</w:t>
      </w:r>
      <w:r w:rsidR="00D063EA">
        <w:t>е</w:t>
      </w:r>
      <w:r w:rsidR="00D063EA" w:rsidRPr="00D063EA">
        <w:t xml:space="preserve"> «Бухгалтерия»</w:t>
      </w:r>
      <w:r w:rsidR="00865E2C">
        <w:t xml:space="preserve"> ведется аналитика у значений справочника «Виды деятельности», то необходимо заполнить столбец «Аналитика».</w:t>
      </w:r>
    </w:p>
    <w:p w:rsidR="00865E2C" w:rsidRDefault="00C65EF2" w:rsidP="00C65EF2">
      <w:pPr>
        <w:pStyle w:val="phlistitemized2"/>
      </w:pPr>
      <w:r>
        <w:t xml:space="preserve">В таблице </w:t>
      </w:r>
      <w:r w:rsidR="00865E2C" w:rsidRPr="006C49E9">
        <w:t>«Соответствие</w:t>
      </w:r>
      <w:r w:rsidR="00865E2C">
        <w:t xml:space="preserve"> единиц измерения» проставить соответствия значений в файле значениям справочника «Единицы измерения» </w:t>
      </w:r>
      <w:r w:rsidR="00D063EA" w:rsidRPr="00D063EA">
        <w:t>в подсистем</w:t>
      </w:r>
      <w:r w:rsidR="00D063EA">
        <w:t>е</w:t>
      </w:r>
      <w:r w:rsidR="00D063EA" w:rsidRPr="00D063EA">
        <w:t xml:space="preserve"> «Бухгалтерия»</w:t>
      </w:r>
      <w:r w:rsidR="00865E2C" w:rsidRPr="006C49E9">
        <w:t>.</w:t>
      </w:r>
    </w:p>
    <w:p w:rsidR="000C4047" w:rsidRDefault="000C4047" w:rsidP="000C4047">
      <w:pPr>
        <w:pStyle w:val="ae"/>
      </w:pPr>
    </w:p>
    <w:p w:rsidR="00865E2C" w:rsidRDefault="000C4047" w:rsidP="000C4047">
      <w:pPr>
        <w:pStyle w:val="phlistitemized1"/>
      </w:pPr>
      <w:r w:rsidRPr="000C4047">
        <w:t xml:space="preserve">На вкладке </w:t>
      </w:r>
      <w:r w:rsidR="00865E2C">
        <w:t>«Соответс</w:t>
      </w:r>
      <w:r>
        <w:t>твия счетов, МОЛ, Поставщиков» (</w:t>
      </w:r>
      <w:r w:rsidR="00CB5FE8">
        <w:fldChar w:fldCharType="begin"/>
      </w:r>
      <w:r>
        <w:instrText xml:space="preserve"> REF _Ref10107229 \h </w:instrText>
      </w:r>
      <w:r w:rsidR="00CB5FE8">
        <w:fldChar w:fldCharType="separate"/>
      </w:r>
      <w:r w:rsidR="00310C81">
        <w:t xml:space="preserve">Рис. </w:t>
      </w:r>
      <w:r w:rsidR="00310C81">
        <w:rPr>
          <w:noProof/>
        </w:rPr>
        <w:t>9</w:t>
      </w:r>
      <w:r w:rsidR="00CB5FE8">
        <w:fldChar w:fldCharType="end"/>
      </w:r>
      <w:r>
        <w:t>)</w:t>
      </w:r>
      <w:r w:rsidR="00865E2C">
        <w:t>:</w:t>
      </w:r>
    </w:p>
    <w:p w:rsidR="00865E2C" w:rsidRDefault="000C4047" w:rsidP="000C4047">
      <w:pPr>
        <w:pStyle w:val="phlistitemized2"/>
      </w:pPr>
      <w:r w:rsidRPr="000C4047">
        <w:t xml:space="preserve">В таблице </w:t>
      </w:r>
      <w:r w:rsidR="00865E2C">
        <w:t>«Соответствие счетов» проставить соответствия значений в файле значениям справочника «План счетов»</w:t>
      </w:r>
      <w:r w:rsidR="00865E2C" w:rsidRPr="000B3D33">
        <w:t xml:space="preserve"> </w:t>
      </w:r>
      <w:r w:rsidR="00D063EA" w:rsidRPr="00D063EA">
        <w:t>в подсистем</w:t>
      </w:r>
      <w:r w:rsidR="00D063EA">
        <w:t>е</w:t>
      </w:r>
      <w:r w:rsidR="00D063EA" w:rsidRPr="00D063EA">
        <w:t xml:space="preserve"> «Бухгалтерия»</w:t>
      </w:r>
      <w:r w:rsidR="00865E2C" w:rsidRPr="006C49E9">
        <w:t>.</w:t>
      </w:r>
    </w:p>
    <w:p w:rsidR="00865E2C" w:rsidRDefault="000C4047" w:rsidP="000C4047">
      <w:pPr>
        <w:pStyle w:val="phlistitemized2"/>
      </w:pPr>
      <w:r w:rsidRPr="000C4047">
        <w:t xml:space="preserve">В таблице </w:t>
      </w:r>
      <w:r w:rsidR="00865E2C">
        <w:t>«Соответствие МОЛ» проставить соответствия значений в файле значениям справочника «МОЛ»</w:t>
      </w:r>
      <w:r w:rsidR="00865E2C" w:rsidRPr="000B3D33">
        <w:t xml:space="preserve"> </w:t>
      </w:r>
      <w:r w:rsidR="00D063EA" w:rsidRPr="00D063EA">
        <w:t>в подсистем</w:t>
      </w:r>
      <w:r w:rsidR="00D063EA">
        <w:t>е</w:t>
      </w:r>
      <w:r w:rsidR="00D063EA" w:rsidRPr="00D063EA">
        <w:t xml:space="preserve"> «Бухгалтерия»</w:t>
      </w:r>
      <w:r w:rsidR="00865E2C" w:rsidRPr="006C49E9">
        <w:t>.</w:t>
      </w:r>
    </w:p>
    <w:p w:rsidR="00865E2C" w:rsidRDefault="000C4047" w:rsidP="000C4047">
      <w:pPr>
        <w:pStyle w:val="phlistitemized2"/>
      </w:pPr>
      <w:r w:rsidRPr="000C4047">
        <w:t xml:space="preserve">В таблице </w:t>
      </w:r>
      <w:r w:rsidR="00865E2C">
        <w:t>«Соответствие поставщиков» проставить соответствия значений в файле значениям справочника «Дебиторы и кредиторы»</w:t>
      </w:r>
      <w:r w:rsidR="00865E2C" w:rsidRPr="000B3D33">
        <w:t xml:space="preserve"> </w:t>
      </w:r>
      <w:r w:rsidR="00D063EA" w:rsidRPr="00D063EA">
        <w:t>в подсистем</w:t>
      </w:r>
      <w:r w:rsidR="00D063EA">
        <w:t>е</w:t>
      </w:r>
      <w:r w:rsidR="00D063EA" w:rsidRPr="00D063EA">
        <w:t xml:space="preserve"> «Бухгалтерия»</w:t>
      </w:r>
      <w:r w:rsidR="00865E2C" w:rsidRPr="006C49E9">
        <w:t>.</w:t>
      </w:r>
    </w:p>
    <w:p w:rsidR="000C4047" w:rsidRDefault="000C4047" w:rsidP="000C4047">
      <w:pPr>
        <w:pStyle w:val="ab"/>
        <w:rPr>
          <w:rFonts w:cs="Tahoma"/>
          <w:szCs w:val="24"/>
        </w:rPr>
      </w:pPr>
      <w:r>
        <w:rPr>
          <w:lang w:val="ru-RU" w:eastAsia="ru-RU"/>
        </w:rPr>
        <w:drawing>
          <wp:inline distT="0" distB="0" distL="0" distR="0">
            <wp:extent cx="4678572" cy="4528572"/>
            <wp:effectExtent l="19050" t="19050" r="26778" b="24378"/>
            <wp:docPr id="6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78572" cy="4528572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C4047" w:rsidRDefault="000C4047" w:rsidP="000C4047">
      <w:pPr>
        <w:pStyle w:val="ac"/>
      </w:pPr>
      <w:bookmarkStart w:id="6" w:name="_Ref10107229"/>
      <w:r>
        <w:t xml:space="preserve">Рис. </w:t>
      </w:r>
      <w:fldSimple w:instr=" SEQ Рис. \* ARABIC ">
        <w:r w:rsidR="00310C81">
          <w:rPr>
            <w:noProof/>
          </w:rPr>
          <w:t>9</w:t>
        </w:r>
      </w:fldSimple>
      <w:bookmarkEnd w:id="6"/>
      <w:r>
        <w:t>. Вкладка «Соответствия счетов, МОЛ, Поставщиков»</w:t>
      </w:r>
    </w:p>
    <w:p w:rsidR="00865E2C" w:rsidRDefault="000C4047" w:rsidP="000C4047">
      <w:pPr>
        <w:pStyle w:val="phlistitemized1"/>
        <w:keepNext/>
      </w:pPr>
      <w:r>
        <w:lastRenderedPageBreak/>
        <w:t>В</w:t>
      </w:r>
      <w:r w:rsidR="00C65EF2">
        <w:t>кладк</w:t>
      </w:r>
      <w:r>
        <w:t>а</w:t>
      </w:r>
      <w:r w:rsidR="00C65EF2">
        <w:t xml:space="preserve"> </w:t>
      </w:r>
      <w:r w:rsidR="00865E2C">
        <w:t>«Аналитика»</w:t>
      </w:r>
      <w:r>
        <w:t xml:space="preserve"> (</w:t>
      </w:r>
      <w:r w:rsidR="00CB5FE8">
        <w:fldChar w:fldCharType="begin"/>
      </w:r>
      <w:r>
        <w:instrText xml:space="preserve"> REF _Ref10107246 \h </w:instrText>
      </w:r>
      <w:r w:rsidR="00CB5FE8">
        <w:fldChar w:fldCharType="separate"/>
      </w:r>
      <w:r w:rsidR="00310C81">
        <w:t xml:space="preserve">Рис. </w:t>
      </w:r>
      <w:r w:rsidR="00310C81">
        <w:rPr>
          <w:noProof/>
        </w:rPr>
        <w:t>10</w:t>
      </w:r>
      <w:r w:rsidR="00CB5FE8">
        <w:fldChar w:fldCharType="end"/>
      </w:r>
      <w:r>
        <w:t>)</w:t>
      </w:r>
      <w:r w:rsidR="00865E2C">
        <w:t xml:space="preserve"> заполняется в случае необходимости «жесткой» привязки оборотов по конкретному счету к конкретному значению аналитики:</w:t>
      </w:r>
    </w:p>
    <w:p w:rsidR="00865E2C" w:rsidRDefault="00865E2C" w:rsidP="00865E2C">
      <w:pPr>
        <w:pStyle w:val="ab"/>
        <w:rPr>
          <w:rFonts w:cs="Tahoma"/>
          <w:szCs w:val="24"/>
        </w:rPr>
      </w:pPr>
      <w:r>
        <w:rPr>
          <w:lang w:val="ru-RU" w:eastAsia="ru-RU"/>
        </w:rPr>
        <w:drawing>
          <wp:inline distT="0" distB="0" distL="0" distR="0">
            <wp:extent cx="4982858" cy="4822858"/>
            <wp:effectExtent l="19050" t="19050" r="27292" b="15842"/>
            <wp:docPr id="5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82858" cy="4822858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5E2C" w:rsidRDefault="00865E2C" w:rsidP="00865E2C">
      <w:pPr>
        <w:pStyle w:val="ac"/>
      </w:pPr>
      <w:bookmarkStart w:id="7" w:name="_Ref10107246"/>
      <w:r>
        <w:t xml:space="preserve">Рис. </w:t>
      </w:r>
      <w:fldSimple w:instr=" SEQ Рис. \* ARABIC ">
        <w:r w:rsidR="00310C81">
          <w:rPr>
            <w:noProof/>
          </w:rPr>
          <w:t>10</w:t>
        </w:r>
      </w:fldSimple>
      <w:bookmarkEnd w:id="7"/>
      <w:r>
        <w:t>. Вкладка «Аналитика»</w:t>
      </w:r>
    </w:p>
    <w:p w:rsidR="00865E2C" w:rsidRDefault="000C4047" w:rsidP="000C4047">
      <w:pPr>
        <w:pStyle w:val="ae"/>
        <w:rPr>
          <w:rStyle w:val="ext-mb-text"/>
        </w:rPr>
      </w:pPr>
      <w:r>
        <w:t xml:space="preserve">6) </w:t>
      </w:r>
      <w:r w:rsidR="00865E2C" w:rsidRPr="00C516D0">
        <w:t xml:space="preserve">После заполнения всех значений нажать </w:t>
      </w:r>
      <w:r>
        <w:t xml:space="preserve">на кнопку </w:t>
      </w:r>
      <w:r w:rsidR="00865E2C" w:rsidRPr="00C516D0">
        <w:t>«Далее». Система выдаст сообщение: «</w:t>
      </w:r>
      <w:r w:rsidR="00865E2C" w:rsidRPr="00C516D0">
        <w:rPr>
          <w:rStyle w:val="ext-mb-text"/>
        </w:rPr>
        <w:t>Загрузка Оборотов из XML запущена в фоновом режиме</w:t>
      </w:r>
      <w:r w:rsidR="00865E2C">
        <w:rPr>
          <w:rStyle w:val="ext-mb-text"/>
        </w:rPr>
        <w:t>», нажмите «ОК».</w:t>
      </w:r>
    </w:p>
    <w:p w:rsidR="000C4047" w:rsidRDefault="000C4047" w:rsidP="000C4047">
      <w:pPr>
        <w:pStyle w:val="ae"/>
      </w:pPr>
      <w:r>
        <w:t xml:space="preserve">7) В главном окне Системы в </w:t>
      </w:r>
      <w:proofErr w:type="spellStart"/>
      <w:r>
        <w:t>Виджетах</w:t>
      </w:r>
      <w:proofErr w:type="spellEnd"/>
      <w:r>
        <w:t xml:space="preserve"> в области «Загрузки», дождаться, когда возле операции «Загрузка Оборотов из </w:t>
      </w:r>
      <w:r>
        <w:rPr>
          <w:lang w:val="en-US"/>
        </w:rPr>
        <w:t>XML</w:t>
      </w:r>
      <w:r>
        <w:t>» появится кнопка «Результат», и затем нажать на нее.</w:t>
      </w:r>
    </w:p>
    <w:p w:rsidR="00865E2C" w:rsidRPr="000C4047" w:rsidRDefault="000C4047" w:rsidP="000C4047">
      <w:pPr>
        <w:pStyle w:val="ae"/>
      </w:pPr>
      <w:r w:rsidRPr="000C4047">
        <w:t xml:space="preserve">8) Открывается отчет о результатах загрузки. </w:t>
      </w:r>
      <w:r w:rsidR="00865E2C" w:rsidRPr="000C4047">
        <w:t>Возможны варианты сообщений:</w:t>
      </w:r>
    </w:p>
    <w:p w:rsidR="00865E2C" w:rsidRDefault="00865E2C" w:rsidP="000C4047">
      <w:pPr>
        <w:pStyle w:val="phlistitemized2"/>
      </w:pPr>
      <w:r>
        <w:t xml:space="preserve">«Документы сформированы. Ошибки или предупреждения не выявлены» </w:t>
      </w:r>
      <w:r w:rsidR="000C4047">
        <w:t>–</w:t>
      </w:r>
      <w:r>
        <w:t xml:space="preserve"> загрузка прошла удачно»;</w:t>
      </w:r>
    </w:p>
    <w:p w:rsidR="00865E2C" w:rsidRDefault="00865E2C" w:rsidP="000C4047">
      <w:pPr>
        <w:pStyle w:val="phlistitemized2"/>
      </w:pPr>
      <w:r w:rsidRPr="003D733C">
        <w:t xml:space="preserve">«Документы сформированы. Выявлены ошибки или предупреждения» </w:t>
      </w:r>
      <w:r w:rsidR="000C4047">
        <w:t>–</w:t>
      </w:r>
      <w:r w:rsidRPr="003D733C">
        <w:t xml:space="preserve"> загрузка прошла, но необходимо ознакомиться с ошибками или предупреждениями</w:t>
      </w:r>
      <w:r>
        <w:t xml:space="preserve">, нажмите на кнопку </w:t>
      </w:r>
      <w:r>
        <w:rPr>
          <w:noProof/>
        </w:rPr>
        <w:drawing>
          <wp:inline distT="0" distB="0" distL="0" distR="0">
            <wp:extent cx="266667" cy="238095"/>
            <wp:effectExtent l="0" t="0" r="635" b="0"/>
            <wp:docPr id="5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33C">
        <w:t>;</w:t>
      </w:r>
    </w:p>
    <w:p w:rsidR="00865E2C" w:rsidRDefault="00865E2C" w:rsidP="000C4047">
      <w:pPr>
        <w:pStyle w:val="phlistitemized2"/>
      </w:pPr>
      <w:r w:rsidRPr="003D733C">
        <w:lastRenderedPageBreak/>
        <w:t xml:space="preserve">«Документы не сформированы. Выявлены ошибки или предупреждения» </w:t>
      </w:r>
      <w:r w:rsidR="000C4047">
        <w:t>–</w:t>
      </w:r>
      <w:r w:rsidRPr="003D733C">
        <w:t xml:space="preserve"> загрузка не произошла, необходимо ознакомиться с ошибками или предупреждениями</w:t>
      </w:r>
      <w:r>
        <w:t>,</w:t>
      </w:r>
      <w:r w:rsidRPr="007879D4">
        <w:t xml:space="preserve"> </w:t>
      </w:r>
      <w:r>
        <w:t xml:space="preserve">нажмите на кнопку </w:t>
      </w:r>
      <w:r>
        <w:rPr>
          <w:noProof/>
        </w:rPr>
        <w:drawing>
          <wp:inline distT="0" distB="0" distL="0" distR="0">
            <wp:extent cx="266667" cy="238095"/>
            <wp:effectExtent l="0" t="0" r="635" b="0"/>
            <wp:docPr id="5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33C">
        <w:t>.</w:t>
      </w:r>
    </w:p>
    <w:p w:rsidR="00865E2C" w:rsidRDefault="00865E2C" w:rsidP="00865E2C">
      <w:pPr>
        <w:pStyle w:val="ab"/>
        <w:rPr>
          <w:rFonts w:cs="Tahoma"/>
          <w:szCs w:val="24"/>
        </w:rPr>
      </w:pPr>
      <w:r>
        <w:rPr>
          <w:lang w:val="ru-RU" w:eastAsia="ru-RU"/>
        </w:rPr>
        <w:drawing>
          <wp:inline distT="0" distB="0" distL="0" distR="0">
            <wp:extent cx="6152515" cy="2275840"/>
            <wp:effectExtent l="19050" t="19050" r="19685" b="10160"/>
            <wp:docPr id="5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75840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5E2C" w:rsidRDefault="00865E2C" w:rsidP="00865E2C">
      <w:pPr>
        <w:pStyle w:val="ac"/>
      </w:pPr>
      <w:r>
        <w:t xml:space="preserve">Рис. </w:t>
      </w:r>
      <w:fldSimple w:instr=" SEQ Рис. \* ARABIC ">
        <w:r w:rsidR="00310C81">
          <w:rPr>
            <w:noProof/>
          </w:rPr>
          <w:t>11</w:t>
        </w:r>
      </w:fldSimple>
      <w:r>
        <w:t xml:space="preserve">. </w:t>
      </w:r>
      <w:r w:rsidR="00095B79">
        <w:t>Отчет</w:t>
      </w:r>
      <w:r>
        <w:t xml:space="preserve"> о результатах загрузки</w:t>
      </w:r>
    </w:p>
    <w:p w:rsidR="00865E2C" w:rsidRDefault="00865E2C" w:rsidP="00095B79">
      <w:pPr>
        <w:pStyle w:val="ae"/>
      </w:pPr>
      <w:r>
        <w:t>Ошибки и предупреждения можно распечатать или сохранить в файл</w:t>
      </w:r>
      <w:r w:rsidR="00095B79">
        <w:t>.</w:t>
      </w:r>
      <w:r>
        <w:t xml:space="preserve"> </w:t>
      </w:r>
      <w:r w:rsidR="00095B79">
        <w:t xml:space="preserve">Для </w:t>
      </w:r>
      <w:r w:rsidR="00F62A70">
        <w:t>этого</w:t>
      </w:r>
      <w:r>
        <w:t xml:space="preserve"> </w:t>
      </w:r>
      <w:r w:rsidR="00095B79">
        <w:t>следует нажать на кнопку</w:t>
      </w:r>
      <w:r>
        <w:t xml:space="preserve"> «Печать» в правом верхнем углу окна сообщения. Внимательно ознакомитесь с ошибками и предупреждениями, устраните их и при необходимости повторите процесс загрузки.</w:t>
      </w:r>
    </w:p>
    <w:p w:rsidR="00865E2C" w:rsidRPr="00C516D0" w:rsidRDefault="007607DD" w:rsidP="007607DD">
      <w:pPr>
        <w:pStyle w:val="aa"/>
        <w:ind w:left="170"/>
      </w:pPr>
      <w:r w:rsidRPr="007607DD">
        <w:rPr>
          <w:rStyle w:val="a7"/>
        </w:rPr>
        <w:t>Важно!</w:t>
      </w:r>
      <w:r>
        <w:t xml:space="preserve"> Следует обратить внимание, что с</w:t>
      </w:r>
      <w:r w:rsidR="00865E2C">
        <w:t xml:space="preserve">формированные документы загрузились в </w:t>
      </w:r>
      <w:r w:rsidR="009263BE">
        <w:t>реестр «Обороты»</w:t>
      </w:r>
      <w:r w:rsidR="00865E2C">
        <w:t xml:space="preserve"> в статусе «Черновик». Необходимо произвести выверку этих документов и зарегистрировать </w:t>
      </w:r>
      <w:r w:rsidR="00E30699">
        <w:t xml:space="preserve">их </w:t>
      </w:r>
      <w:r w:rsidR="00865E2C">
        <w:t>в учете.</w:t>
      </w:r>
    </w:p>
    <w:p w:rsidR="008D46FF" w:rsidRPr="00095B79" w:rsidRDefault="008D46FF" w:rsidP="00095B79">
      <w:pPr>
        <w:pStyle w:val="ae"/>
      </w:pPr>
    </w:p>
    <w:sectPr w:rsidR="008D46FF" w:rsidRPr="00095B79" w:rsidSect="0016014B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6240"/>
    <w:multiLevelType w:val="multilevel"/>
    <w:tmpl w:val="C7DA8C6C"/>
    <w:lvl w:ilvl="0">
      <w:start w:val="1"/>
      <w:numFmt w:val="decimal"/>
      <w:pStyle w:val="1"/>
      <w:suff w:val="space"/>
      <w:lvlText w:val="%1."/>
      <w:lvlJc w:val="left"/>
      <w:pPr>
        <w:ind w:left="0" w:firstLine="454"/>
      </w:pPr>
      <w:rPr>
        <w:rFonts w:ascii="Tahoma" w:hAnsi="Tahoma" w:cs="Tahoma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4"/>
        </w:tabs>
        <w:ind w:left="0" w:firstLine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1495CF7"/>
    <w:multiLevelType w:val="hybridMultilevel"/>
    <w:tmpl w:val="2284AEFE"/>
    <w:lvl w:ilvl="0" w:tplc="EC6CA500">
      <w:start w:val="1"/>
      <w:numFmt w:val="bullet"/>
      <w:pStyle w:val="phlistitemized2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 w:tplc="2D7685F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6823CDC"/>
    <w:multiLevelType w:val="hybridMultilevel"/>
    <w:tmpl w:val="2E2CB076"/>
    <w:lvl w:ilvl="0" w:tplc="CAD84A06">
      <w:start w:val="1"/>
      <w:numFmt w:val="bullet"/>
      <w:pStyle w:val="1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4B2A33"/>
    <w:multiLevelType w:val="hybridMultilevel"/>
    <w:tmpl w:val="51F44F56"/>
    <w:lvl w:ilvl="0" w:tplc="93D84C18">
      <w:start w:val="1"/>
      <w:numFmt w:val="decimal"/>
      <w:pStyle w:val="11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B6E4E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6F7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A7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12B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7E9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20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6DE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AAD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6327B0"/>
    <w:multiLevelType w:val="hybridMultilevel"/>
    <w:tmpl w:val="A22CF2C8"/>
    <w:lvl w:ilvl="0" w:tplc="EE88916C">
      <w:start w:val="1"/>
      <w:numFmt w:val="bullet"/>
      <w:pStyle w:val="20"/>
      <w:lvlText w:val="o"/>
      <w:lvlJc w:val="left"/>
      <w:pPr>
        <w:tabs>
          <w:tab w:val="num" w:pos="1020"/>
        </w:tabs>
        <w:ind w:left="1020" w:hanging="340"/>
      </w:pPr>
      <w:rPr>
        <w:rFonts w:ascii="Courier New" w:hAnsi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419F404C"/>
    <w:multiLevelType w:val="hybridMultilevel"/>
    <w:tmpl w:val="A54CC38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52D50C91"/>
    <w:multiLevelType w:val="multilevel"/>
    <w:tmpl w:val="0B1EE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abstractNum w:abstractNumId="7">
    <w:nsid w:val="595D20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75D15EB"/>
    <w:multiLevelType w:val="multilevel"/>
    <w:tmpl w:val="BE9855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abstractNum w:abstractNumId="9">
    <w:nsid w:val="75161AFA"/>
    <w:multiLevelType w:val="hybridMultilevel"/>
    <w:tmpl w:val="18802F20"/>
    <w:lvl w:ilvl="0" w:tplc="48DA248E">
      <w:start w:val="1"/>
      <w:numFmt w:val="bullet"/>
      <w:pStyle w:val="phlistitemized1"/>
      <w:lvlText w:val=""/>
      <w:lvlJc w:val="left"/>
      <w:pPr>
        <w:tabs>
          <w:tab w:val="num" w:pos="1067"/>
        </w:tabs>
        <w:ind w:left="1067" w:hanging="35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64F7C16"/>
    <w:multiLevelType w:val="hybridMultilevel"/>
    <w:tmpl w:val="F21007C6"/>
    <w:lvl w:ilvl="0" w:tplc="F3024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776642"/>
    <w:multiLevelType w:val="hybridMultilevel"/>
    <w:tmpl w:val="EC24D45C"/>
    <w:lvl w:ilvl="0" w:tplc="465C893E">
      <w:start w:val="1"/>
      <w:numFmt w:val="decimal"/>
      <w:pStyle w:val="21"/>
      <w:lvlText w:val="%1)"/>
      <w:lvlJc w:val="left"/>
      <w:pPr>
        <w:tabs>
          <w:tab w:val="num" w:pos="1020"/>
        </w:tabs>
        <w:ind w:left="1020" w:hanging="340"/>
      </w:pPr>
      <w:rPr>
        <w:rFonts w:ascii="Century Gothic" w:hAnsi="Century Gothic" w:hint="default"/>
        <w:sz w:val="24"/>
        <w:szCs w:val="24"/>
      </w:rPr>
    </w:lvl>
    <w:lvl w:ilvl="1" w:tplc="F4589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6E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C6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2E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4C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004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80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E2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9"/>
  </w:num>
  <w:num w:numId="13">
    <w:abstractNumId w:val="1"/>
  </w:num>
  <w:num w:numId="14">
    <w:abstractNumId w:val="8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972"/>
    <w:rsid w:val="0005578C"/>
    <w:rsid w:val="00083EBE"/>
    <w:rsid w:val="00095B79"/>
    <w:rsid w:val="000C4047"/>
    <w:rsid w:val="000D0746"/>
    <w:rsid w:val="000E051B"/>
    <w:rsid w:val="0010328A"/>
    <w:rsid w:val="00113D36"/>
    <w:rsid w:val="001170F6"/>
    <w:rsid w:val="001207BA"/>
    <w:rsid w:val="001327A5"/>
    <w:rsid w:val="0016014B"/>
    <w:rsid w:val="001850F7"/>
    <w:rsid w:val="001A20FE"/>
    <w:rsid w:val="001B21C7"/>
    <w:rsid w:val="001F3448"/>
    <w:rsid w:val="00200512"/>
    <w:rsid w:val="00227D00"/>
    <w:rsid w:val="00262F96"/>
    <w:rsid w:val="00295AE4"/>
    <w:rsid w:val="002A31A4"/>
    <w:rsid w:val="002A3F0B"/>
    <w:rsid w:val="002A66E4"/>
    <w:rsid w:val="002C6B86"/>
    <w:rsid w:val="002C6C01"/>
    <w:rsid w:val="002D199A"/>
    <w:rsid w:val="002D42C3"/>
    <w:rsid w:val="002D74ED"/>
    <w:rsid w:val="002E148A"/>
    <w:rsid w:val="00310C81"/>
    <w:rsid w:val="00313E27"/>
    <w:rsid w:val="003155ED"/>
    <w:rsid w:val="00367398"/>
    <w:rsid w:val="0041392D"/>
    <w:rsid w:val="004258A4"/>
    <w:rsid w:val="00426E6E"/>
    <w:rsid w:val="00444F58"/>
    <w:rsid w:val="0046704A"/>
    <w:rsid w:val="00472F33"/>
    <w:rsid w:val="004765BC"/>
    <w:rsid w:val="004856C2"/>
    <w:rsid w:val="004A0163"/>
    <w:rsid w:val="004B0BDC"/>
    <w:rsid w:val="004D301A"/>
    <w:rsid w:val="005069BE"/>
    <w:rsid w:val="00506D8D"/>
    <w:rsid w:val="00506E6E"/>
    <w:rsid w:val="00525E22"/>
    <w:rsid w:val="0053113F"/>
    <w:rsid w:val="00594B84"/>
    <w:rsid w:val="005B2E5F"/>
    <w:rsid w:val="005C5333"/>
    <w:rsid w:val="0064139E"/>
    <w:rsid w:val="0066196D"/>
    <w:rsid w:val="00672262"/>
    <w:rsid w:val="006A4B30"/>
    <w:rsid w:val="006B3466"/>
    <w:rsid w:val="006D2DD9"/>
    <w:rsid w:val="006D3730"/>
    <w:rsid w:val="006E713C"/>
    <w:rsid w:val="0075680C"/>
    <w:rsid w:val="00757DE4"/>
    <w:rsid w:val="007607DD"/>
    <w:rsid w:val="00770594"/>
    <w:rsid w:val="007A26DF"/>
    <w:rsid w:val="007A3912"/>
    <w:rsid w:val="007F2021"/>
    <w:rsid w:val="008220A9"/>
    <w:rsid w:val="00831C64"/>
    <w:rsid w:val="008526A4"/>
    <w:rsid w:val="008541FF"/>
    <w:rsid w:val="00865E2C"/>
    <w:rsid w:val="00886CDF"/>
    <w:rsid w:val="00891344"/>
    <w:rsid w:val="008965BD"/>
    <w:rsid w:val="008B0AD7"/>
    <w:rsid w:val="008D46FF"/>
    <w:rsid w:val="008E688C"/>
    <w:rsid w:val="008E7F77"/>
    <w:rsid w:val="008F4580"/>
    <w:rsid w:val="00901500"/>
    <w:rsid w:val="00904E22"/>
    <w:rsid w:val="00916FBA"/>
    <w:rsid w:val="00923C88"/>
    <w:rsid w:val="009263BE"/>
    <w:rsid w:val="00927FB5"/>
    <w:rsid w:val="00935D9B"/>
    <w:rsid w:val="0094012B"/>
    <w:rsid w:val="00941972"/>
    <w:rsid w:val="009473BE"/>
    <w:rsid w:val="0096451C"/>
    <w:rsid w:val="00982136"/>
    <w:rsid w:val="009964F6"/>
    <w:rsid w:val="00996C7D"/>
    <w:rsid w:val="009A4ADE"/>
    <w:rsid w:val="009B1A6C"/>
    <w:rsid w:val="009E3B42"/>
    <w:rsid w:val="00A2435D"/>
    <w:rsid w:val="00A3197A"/>
    <w:rsid w:val="00A60181"/>
    <w:rsid w:val="00A728D7"/>
    <w:rsid w:val="00A76F98"/>
    <w:rsid w:val="00AA45A2"/>
    <w:rsid w:val="00AD5DCA"/>
    <w:rsid w:val="00AE6921"/>
    <w:rsid w:val="00B01141"/>
    <w:rsid w:val="00B02C24"/>
    <w:rsid w:val="00B13ED5"/>
    <w:rsid w:val="00B15DB3"/>
    <w:rsid w:val="00B43781"/>
    <w:rsid w:val="00B51397"/>
    <w:rsid w:val="00B53FC1"/>
    <w:rsid w:val="00B54E68"/>
    <w:rsid w:val="00B81CE1"/>
    <w:rsid w:val="00C10B95"/>
    <w:rsid w:val="00C433AB"/>
    <w:rsid w:val="00C4372C"/>
    <w:rsid w:val="00C65EF2"/>
    <w:rsid w:val="00C74F0A"/>
    <w:rsid w:val="00C77FF6"/>
    <w:rsid w:val="00C85CDF"/>
    <w:rsid w:val="00C9139E"/>
    <w:rsid w:val="00CB5FE8"/>
    <w:rsid w:val="00CB7A5E"/>
    <w:rsid w:val="00CC02CE"/>
    <w:rsid w:val="00CC6355"/>
    <w:rsid w:val="00D063EA"/>
    <w:rsid w:val="00D13091"/>
    <w:rsid w:val="00D27490"/>
    <w:rsid w:val="00D36BB3"/>
    <w:rsid w:val="00D46F90"/>
    <w:rsid w:val="00D53541"/>
    <w:rsid w:val="00D53BFF"/>
    <w:rsid w:val="00D63282"/>
    <w:rsid w:val="00D72747"/>
    <w:rsid w:val="00D7396D"/>
    <w:rsid w:val="00D905A5"/>
    <w:rsid w:val="00D978BC"/>
    <w:rsid w:val="00DA57C3"/>
    <w:rsid w:val="00DA6BEC"/>
    <w:rsid w:val="00DC0625"/>
    <w:rsid w:val="00DD4073"/>
    <w:rsid w:val="00DE71FB"/>
    <w:rsid w:val="00DF579B"/>
    <w:rsid w:val="00E30699"/>
    <w:rsid w:val="00E3418C"/>
    <w:rsid w:val="00E854B9"/>
    <w:rsid w:val="00E94F8E"/>
    <w:rsid w:val="00EA20CE"/>
    <w:rsid w:val="00EA43A2"/>
    <w:rsid w:val="00EB1C56"/>
    <w:rsid w:val="00EB6BEE"/>
    <w:rsid w:val="00EC5EC3"/>
    <w:rsid w:val="00EC609E"/>
    <w:rsid w:val="00EE61BB"/>
    <w:rsid w:val="00EE69D4"/>
    <w:rsid w:val="00F031A5"/>
    <w:rsid w:val="00F62A70"/>
    <w:rsid w:val="00FA09BD"/>
    <w:rsid w:val="00FA3CE7"/>
    <w:rsid w:val="00FE504B"/>
    <w:rsid w:val="00FF3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EA"/>
    <w:rPr>
      <w:rFonts w:ascii="Times New Roman" w:hAnsi="Times New Roman"/>
      <w:sz w:val="24"/>
    </w:rPr>
  </w:style>
  <w:style w:type="paragraph" w:styleId="1">
    <w:name w:val="heading 1"/>
    <w:next w:val="2"/>
    <w:link w:val="12"/>
    <w:qFormat/>
    <w:rsid w:val="002C6C01"/>
    <w:pPr>
      <w:keepNext/>
      <w:pageBreakBefore/>
      <w:numPr>
        <w:numId w:val="7"/>
      </w:numPr>
      <w:suppressAutoHyphens/>
      <w:spacing w:after="480" w:line="288" w:lineRule="auto"/>
      <w:ind w:firstLine="0"/>
      <w:jc w:val="center"/>
      <w:outlineLvl w:val="0"/>
    </w:pPr>
    <w:rPr>
      <w:rFonts w:ascii="Tahoma" w:eastAsia="Times New Roman" w:hAnsi="Tahoma" w:cs="Times New Roman"/>
      <w:b/>
      <w:caps/>
      <w:sz w:val="24"/>
      <w:szCs w:val="20"/>
    </w:rPr>
  </w:style>
  <w:style w:type="paragraph" w:styleId="2">
    <w:name w:val="heading 2"/>
    <w:next w:val="3"/>
    <w:link w:val="22"/>
    <w:qFormat/>
    <w:rsid w:val="00996C7D"/>
    <w:pPr>
      <w:keepNext/>
      <w:keepLines/>
      <w:numPr>
        <w:ilvl w:val="1"/>
        <w:numId w:val="7"/>
      </w:numPr>
      <w:spacing w:before="480" w:after="360" w:line="288" w:lineRule="auto"/>
      <w:jc w:val="both"/>
      <w:outlineLvl w:val="1"/>
    </w:pPr>
    <w:rPr>
      <w:rFonts w:ascii="Tahoma" w:eastAsia="Times New Roman" w:hAnsi="Tahoma" w:cs="Times New Roman"/>
      <w:b/>
      <w:snapToGrid w:val="0"/>
      <w:sz w:val="24"/>
      <w:szCs w:val="20"/>
    </w:rPr>
  </w:style>
  <w:style w:type="paragraph" w:styleId="3">
    <w:name w:val="heading 3"/>
    <w:basedOn w:val="2"/>
    <w:link w:val="30"/>
    <w:qFormat/>
    <w:rsid w:val="00996C7D"/>
    <w:pPr>
      <w:numPr>
        <w:ilvl w:val="2"/>
      </w:numPr>
      <w:spacing w:before="360"/>
      <w:outlineLvl w:val="2"/>
    </w:pPr>
  </w:style>
  <w:style w:type="paragraph" w:styleId="4">
    <w:name w:val="heading 4"/>
    <w:aliases w:val="(подпункт)"/>
    <w:basedOn w:val="2"/>
    <w:next w:val="a"/>
    <w:link w:val="40"/>
    <w:qFormat/>
    <w:rsid w:val="00996C7D"/>
    <w:pPr>
      <w:numPr>
        <w:ilvl w:val="3"/>
      </w:numPr>
      <w:tabs>
        <w:tab w:val="left" w:pos="720"/>
      </w:tabs>
      <w:spacing w:before="360"/>
      <w:outlineLvl w:val="3"/>
    </w:pPr>
  </w:style>
  <w:style w:type="paragraph" w:styleId="5">
    <w:name w:val="heading 5"/>
    <w:basedOn w:val="2"/>
    <w:next w:val="a"/>
    <w:link w:val="50"/>
    <w:qFormat/>
    <w:rsid w:val="00996C7D"/>
    <w:pPr>
      <w:numPr>
        <w:ilvl w:val="4"/>
      </w:numPr>
      <w:tabs>
        <w:tab w:val="left" w:pos="1985"/>
      </w:tabs>
      <w:spacing w:before="240" w:after="60"/>
      <w:outlineLvl w:val="4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B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BDC"/>
    <w:rPr>
      <w:rFonts w:ascii="Tahoma" w:hAnsi="Tahoma" w:cs="Tahoma"/>
      <w:sz w:val="16"/>
      <w:szCs w:val="16"/>
    </w:rPr>
  </w:style>
  <w:style w:type="paragraph" w:customStyle="1" w:styleId="a6">
    <w:name w:val="Важно!"/>
    <w:basedOn w:val="a"/>
    <w:next w:val="a"/>
    <w:link w:val="a7"/>
    <w:rsid w:val="00D063EA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 w:after="120" w:line="240" w:lineRule="auto"/>
      <w:ind w:left="567" w:right="567"/>
      <w:jc w:val="both"/>
    </w:pPr>
    <w:rPr>
      <w:rFonts w:ascii="Tahoma" w:eastAsia="Times New Roman" w:hAnsi="Tahoma" w:cs="Times New Roman"/>
      <w:b/>
      <w:color w:val="E02020"/>
      <w:szCs w:val="24"/>
      <w:lang w:eastAsia="ru-RU"/>
    </w:rPr>
  </w:style>
  <w:style w:type="character" w:customStyle="1" w:styleId="12">
    <w:name w:val="Заголовок 1 Знак"/>
    <w:basedOn w:val="a0"/>
    <w:link w:val="1"/>
    <w:rsid w:val="002C6C01"/>
    <w:rPr>
      <w:rFonts w:ascii="Tahoma" w:eastAsia="Times New Roman" w:hAnsi="Tahoma" w:cs="Times New Roman"/>
      <w:b/>
      <w:caps/>
      <w:sz w:val="24"/>
      <w:szCs w:val="20"/>
    </w:rPr>
  </w:style>
  <w:style w:type="character" w:customStyle="1" w:styleId="22">
    <w:name w:val="Заголовок 2 Знак"/>
    <w:basedOn w:val="a0"/>
    <w:link w:val="2"/>
    <w:rsid w:val="00996C7D"/>
    <w:rPr>
      <w:rFonts w:ascii="Tahoma" w:eastAsia="Times New Roman" w:hAnsi="Tahoma" w:cs="Times New Roman"/>
      <w:b/>
      <w:snapToGrid w:val="0"/>
      <w:sz w:val="24"/>
      <w:szCs w:val="20"/>
    </w:rPr>
  </w:style>
  <w:style w:type="paragraph" w:customStyle="1" w:styleId="13">
    <w:name w:val="Заголовок 1  не нумерованный"/>
    <w:basedOn w:val="1"/>
    <w:next w:val="a"/>
    <w:rsid w:val="00996C7D"/>
    <w:pPr>
      <w:numPr>
        <w:numId w:val="0"/>
      </w:numPr>
      <w:spacing w:after="360"/>
      <w:ind w:left="340"/>
    </w:pPr>
  </w:style>
  <w:style w:type="character" w:customStyle="1" w:styleId="30">
    <w:name w:val="Заголовок 3 Знак"/>
    <w:basedOn w:val="a0"/>
    <w:link w:val="3"/>
    <w:rsid w:val="00996C7D"/>
    <w:rPr>
      <w:rFonts w:ascii="Tahoma" w:eastAsia="Times New Roman" w:hAnsi="Tahoma" w:cs="Times New Roman"/>
      <w:b/>
      <w:snapToGrid w:val="0"/>
      <w:sz w:val="24"/>
      <w:szCs w:val="20"/>
    </w:rPr>
  </w:style>
  <w:style w:type="character" w:customStyle="1" w:styleId="40">
    <w:name w:val="Заголовок 4 Знак"/>
    <w:aliases w:val="(подпункт) Знак"/>
    <w:basedOn w:val="a0"/>
    <w:link w:val="4"/>
    <w:rsid w:val="00996C7D"/>
    <w:rPr>
      <w:rFonts w:ascii="Tahoma" w:eastAsia="Times New Roman" w:hAnsi="Tahoma" w:cs="Times New Roman"/>
      <w:b/>
      <w:snapToGrid w:val="0"/>
      <w:sz w:val="24"/>
      <w:szCs w:val="20"/>
    </w:rPr>
  </w:style>
  <w:style w:type="character" w:customStyle="1" w:styleId="50">
    <w:name w:val="Заголовок 5 Знак"/>
    <w:basedOn w:val="a0"/>
    <w:link w:val="5"/>
    <w:rsid w:val="00996C7D"/>
    <w:rPr>
      <w:rFonts w:ascii="Tahoma" w:eastAsia="Times New Roman" w:hAnsi="Tahoma" w:cs="Times New Roman"/>
      <w:b/>
      <w:snapToGrid w:val="0"/>
      <w:sz w:val="24"/>
      <w:szCs w:val="24"/>
    </w:rPr>
  </w:style>
  <w:style w:type="paragraph" w:customStyle="1" w:styleId="10">
    <w:name w:val="Маркированный 1 уровень"/>
    <w:basedOn w:val="a"/>
    <w:next w:val="a"/>
    <w:rsid w:val="00996C7D"/>
    <w:pPr>
      <w:numPr>
        <w:numId w:val="8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customStyle="1" w:styleId="20">
    <w:name w:val="Маркированный 2 уровень"/>
    <w:basedOn w:val="a"/>
    <w:next w:val="a"/>
    <w:rsid w:val="00996C7D"/>
    <w:pPr>
      <w:numPr>
        <w:numId w:val="9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customStyle="1" w:styleId="11">
    <w:name w:val="Нумерованный 1 уровень"/>
    <w:basedOn w:val="a"/>
    <w:next w:val="a"/>
    <w:rsid w:val="00996C7D"/>
    <w:pPr>
      <w:numPr>
        <w:numId w:val="10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customStyle="1" w:styleId="21">
    <w:name w:val="Нумерованный 2 уровень"/>
    <w:basedOn w:val="a"/>
    <w:next w:val="a"/>
    <w:rsid w:val="00996C7D"/>
    <w:pPr>
      <w:numPr>
        <w:numId w:val="11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4">
    <w:name w:val="toc 1"/>
    <w:basedOn w:val="a"/>
    <w:autoRedefine/>
    <w:uiPriority w:val="39"/>
    <w:rsid w:val="002C6C01"/>
    <w:pPr>
      <w:keepNext/>
      <w:tabs>
        <w:tab w:val="left" w:leader="dot" w:pos="9639"/>
      </w:tabs>
      <w:spacing w:before="60" w:after="0" w:line="360" w:lineRule="auto"/>
      <w:ind w:right="851"/>
      <w:jc w:val="both"/>
    </w:pPr>
    <w:rPr>
      <w:rFonts w:ascii="Tahoma" w:eastAsia="Times New Roman" w:hAnsi="Tahoma" w:cs="Times New Roman"/>
      <w:b/>
      <w:noProof/>
      <w:szCs w:val="20"/>
    </w:rPr>
  </w:style>
  <w:style w:type="paragraph" w:styleId="23">
    <w:name w:val="toc 2"/>
    <w:basedOn w:val="14"/>
    <w:next w:val="31"/>
    <w:uiPriority w:val="39"/>
    <w:rsid w:val="00996C7D"/>
    <w:pPr>
      <w:keepNext w:val="0"/>
    </w:pPr>
    <w:rPr>
      <w:b w:val="0"/>
    </w:rPr>
  </w:style>
  <w:style w:type="paragraph" w:styleId="31">
    <w:name w:val="toc 3"/>
    <w:basedOn w:val="23"/>
    <w:next w:val="41"/>
    <w:uiPriority w:val="39"/>
    <w:rsid w:val="00996C7D"/>
    <w:pPr>
      <w:tabs>
        <w:tab w:val="right" w:leader="dot" w:pos="9809"/>
      </w:tabs>
      <w:ind w:left="227"/>
    </w:pPr>
    <w:rPr>
      <w:i/>
      <w:sz w:val="22"/>
    </w:rPr>
  </w:style>
  <w:style w:type="paragraph" w:styleId="41">
    <w:name w:val="toc 4"/>
    <w:basedOn w:val="a"/>
    <w:next w:val="a"/>
    <w:autoRedefine/>
    <w:uiPriority w:val="39"/>
    <w:unhideWhenUsed/>
    <w:rsid w:val="00996C7D"/>
    <w:pPr>
      <w:spacing w:after="100"/>
      <w:ind w:left="660"/>
    </w:pPr>
  </w:style>
  <w:style w:type="paragraph" w:customStyle="1" w:styleId="a8">
    <w:name w:val="Примечание"/>
    <w:basedOn w:val="a"/>
    <w:link w:val="a9"/>
    <w:rsid w:val="00EA20CE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 w:after="0" w:line="240" w:lineRule="auto"/>
      <w:ind w:left="567" w:right="567"/>
      <w:jc w:val="both"/>
    </w:pPr>
    <w:rPr>
      <w:rFonts w:ascii="Tahoma" w:eastAsia="Times New Roman" w:hAnsi="Tahoma" w:cs="Times New Roman"/>
      <w:b/>
      <w:szCs w:val="24"/>
      <w:lang w:eastAsia="ru-RU"/>
    </w:rPr>
  </w:style>
  <w:style w:type="paragraph" w:customStyle="1" w:styleId="aa">
    <w:name w:val="Примечание (текст)"/>
    <w:basedOn w:val="a"/>
    <w:next w:val="a"/>
    <w:rsid w:val="00EC609E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120" w:after="120" w:line="288" w:lineRule="auto"/>
      <w:ind w:left="851" w:right="170"/>
      <w:jc w:val="both"/>
    </w:pPr>
    <w:rPr>
      <w:rFonts w:ascii="Tahoma" w:eastAsia="Times New Roman" w:hAnsi="Tahoma" w:cs="Times New Roman"/>
      <w:szCs w:val="24"/>
      <w:lang w:eastAsia="ru-RU"/>
    </w:rPr>
  </w:style>
  <w:style w:type="paragraph" w:customStyle="1" w:styleId="ab">
    <w:name w:val="Рис"/>
    <w:next w:val="a"/>
    <w:rsid w:val="00996C7D"/>
    <w:pPr>
      <w:keepNext/>
      <w:keepLines/>
      <w:spacing w:before="240" w:after="120" w:line="240" w:lineRule="auto"/>
      <w:jc w:val="center"/>
    </w:pPr>
    <w:rPr>
      <w:rFonts w:ascii="Tahoma" w:eastAsia="Times New Roman" w:hAnsi="Tahoma" w:cs="Times New Roman"/>
      <w:noProof/>
      <w:sz w:val="24"/>
      <w:szCs w:val="20"/>
      <w:lang w:val="en-US"/>
    </w:rPr>
  </w:style>
  <w:style w:type="paragraph" w:customStyle="1" w:styleId="ac">
    <w:name w:val="Рис Имя"/>
    <w:basedOn w:val="a"/>
    <w:next w:val="ab"/>
    <w:rsid w:val="00996C7D"/>
    <w:pPr>
      <w:spacing w:before="240" w:after="360" w:line="288" w:lineRule="auto"/>
      <w:jc w:val="center"/>
    </w:pPr>
    <w:rPr>
      <w:rFonts w:ascii="Tahoma" w:eastAsia="Times New Roman" w:hAnsi="Tahoma" w:cs="Times New Roman"/>
      <w:szCs w:val="20"/>
    </w:rPr>
  </w:style>
  <w:style w:type="paragraph" w:customStyle="1" w:styleId="ad">
    <w:name w:val="Содержание"/>
    <w:basedOn w:val="a"/>
    <w:next w:val="a"/>
    <w:rsid w:val="00996C7D"/>
    <w:pPr>
      <w:keepNext/>
      <w:pageBreakBefore/>
      <w:suppressAutoHyphens/>
      <w:spacing w:before="240" w:after="240" w:line="360" w:lineRule="auto"/>
      <w:jc w:val="center"/>
    </w:pPr>
    <w:rPr>
      <w:rFonts w:ascii="Tahoma" w:eastAsia="Times New Roman" w:hAnsi="Tahoma" w:cs="Times New Roman"/>
      <w:b/>
      <w:caps/>
      <w:szCs w:val="20"/>
    </w:rPr>
  </w:style>
  <w:style w:type="paragraph" w:customStyle="1" w:styleId="ae">
    <w:name w:val="Текст пункта"/>
    <w:link w:val="32"/>
    <w:rsid w:val="00996C7D"/>
    <w:pPr>
      <w:tabs>
        <w:tab w:val="left" w:pos="1134"/>
      </w:tabs>
      <w:spacing w:before="120" w:after="0" w:line="288" w:lineRule="auto"/>
      <w:ind w:firstLine="624"/>
      <w:jc w:val="both"/>
    </w:pPr>
    <w:rPr>
      <w:rFonts w:ascii="Tahoma" w:eastAsia="Times New Roman" w:hAnsi="Tahoma" w:cs="Times New Roman"/>
      <w:spacing w:val="2"/>
      <w:sz w:val="24"/>
      <w:szCs w:val="24"/>
    </w:rPr>
  </w:style>
  <w:style w:type="character" w:customStyle="1" w:styleId="32">
    <w:name w:val="Текст пункта Знак3"/>
    <w:basedOn w:val="a0"/>
    <w:link w:val="ae"/>
    <w:rsid w:val="00B81CE1"/>
    <w:rPr>
      <w:rFonts w:ascii="Tahoma" w:eastAsia="Times New Roman" w:hAnsi="Tahoma" w:cs="Times New Roman"/>
      <w:spacing w:val="2"/>
      <w:sz w:val="24"/>
      <w:szCs w:val="24"/>
    </w:rPr>
  </w:style>
  <w:style w:type="paragraph" w:customStyle="1" w:styleId="phlistitemized1">
    <w:name w:val="ph_list_itemized_1"/>
    <w:basedOn w:val="a"/>
    <w:rsid w:val="000C4047"/>
    <w:pPr>
      <w:numPr>
        <w:numId w:val="12"/>
      </w:numPr>
      <w:spacing w:before="120" w:after="0" w:line="288" w:lineRule="auto"/>
      <w:ind w:left="981"/>
      <w:jc w:val="both"/>
    </w:pPr>
    <w:rPr>
      <w:rFonts w:ascii="Tahoma" w:eastAsia="Times New Roman" w:hAnsi="Tahoma" w:cs="Arial"/>
      <w:szCs w:val="20"/>
    </w:rPr>
  </w:style>
  <w:style w:type="paragraph" w:customStyle="1" w:styleId="phlistitemized2">
    <w:name w:val="ph_list_itemized_2"/>
    <w:basedOn w:val="a"/>
    <w:rsid w:val="00C65EF2"/>
    <w:pPr>
      <w:numPr>
        <w:numId w:val="13"/>
      </w:numPr>
      <w:tabs>
        <w:tab w:val="clear" w:pos="1755"/>
        <w:tab w:val="num" w:pos="1276"/>
      </w:tabs>
      <w:spacing w:before="120" w:after="0" w:line="288" w:lineRule="auto"/>
      <w:ind w:left="1276" w:right="170" w:hanging="283"/>
      <w:jc w:val="both"/>
    </w:pPr>
    <w:rPr>
      <w:rFonts w:ascii="Tahoma" w:eastAsia="Times New Roman" w:hAnsi="Tahoma" w:cs="Times New Roman"/>
      <w:szCs w:val="20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6A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A4B30"/>
    <w:rPr>
      <w:rFonts w:ascii="Tahoma" w:hAnsi="Tahoma" w:cs="Tahoma"/>
      <w:sz w:val="16"/>
      <w:szCs w:val="16"/>
    </w:rPr>
  </w:style>
  <w:style w:type="character" w:customStyle="1" w:styleId="15">
    <w:name w:val="Выдел_1"/>
    <w:rsid w:val="008E7F77"/>
    <w:rPr>
      <w:rFonts w:ascii="Tahoma" w:hAnsi="Tahoma"/>
      <w:i/>
      <w:spacing w:val="8"/>
      <w:kern w:val="0"/>
      <w:position w:val="0"/>
      <w:sz w:val="24"/>
      <w:szCs w:val="24"/>
    </w:rPr>
  </w:style>
  <w:style w:type="character" w:customStyle="1" w:styleId="a7">
    <w:name w:val="Важно! Знак"/>
    <w:basedOn w:val="a0"/>
    <w:link w:val="a6"/>
    <w:rsid w:val="00D063EA"/>
    <w:rPr>
      <w:rFonts w:ascii="Tahoma" w:eastAsia="Times New Roman" w:hAnsi="Tahoma" w:cs="Times New Roman"/>
      <w:b/>
      <w:color w:val="E02020"/>
      <w:sz w:val="24"/>
      <w:szCs w:val="24"/>
      <w:lang w:eastAsia="ru-RU"/>
    </w:rPr>
  </w:style>
  <w:style w:type="paragraph" w:customStyle="1" w:styleId="af1">
    <w:name w:val="Надпись ТЛ и ЛУ"/>
    <w:basedOn w:val="a"/>
    <w:next w:val="a"/>
    <w:rsid w:val="0016014B"/>
    <w:pPr>
      <w:spacing w:after="0" w:line="240" w:lineRule="auto"/>
      <w:jc w:val="center"/>
    </w:pPr>
    <w:rPr>
      <w:rFonts w:ascii="Tahoma" w:eastAsia="Times New Roman" w:hAnsi="Tahoma" w:cs="Times New Roman"/>
      <w:sz w:val="32"/>
      <w:szCs w:val="36"/>
      <w:lang w:eastAsia="ru-RU"/>
    </w:rPr>
  </w:style>
  <w:style w:type="paragraph" w:customStyle="1" w:styleId="af2">
    <w:name w:val="Название Модуля/Подсистемы"/>
    <w:basedOn w:val="a"/>
    <w:next w:val="a"/>
    <w:rsid w:val="0016014B"/>
    <w:pPr>
      <w:spacing w:after="0" w:line="240" w:lineRule="auto"/>
      <w:jc w:val="center"/>
    </w:pPr>
    <w:rPr>
      <w:rFonts w:ascii="Tahoma" w:eastAsia="Times New Roman" w:hAnsi="Tahoma" w:cs="Times New Roman"/>
      <w:caps/>
      <w:sz w:val="52"/>
      <w:szCs w:val="48"/>
      <w:lang w:eastAsia="ru-RU"/>
    </w:rPr>
  </w:style>
  <w:style w:type="paragraph" w:customStyle="1" w:styleId="af3">
    <w:name w:val="Наименование документа"/>
    <w:basedOn w:val="a"/>
    <w:next w:val="a"/>
    <w:rsid w:val="0016014B"/>
    <w:pPr>
      <w:spacing w:before="720" w:after="0" w:line="240" w:lineRule="auto"/>
      <w:jc w:val="center"/>
    </w:pPr>
    <w:rPr>
      <w:rFonts w:ascii="Tahoma" w:eastAsia="Times New Roman" w:hAnsi="Tahoma" w:cs="Times New Roman"/>
      <w:caps/>
      <w:sz w:val="32"/>
      <w:szCs w:val="32"/>
      <w:lang w:eastAsia="ru-RU"/>
    </w:rPr>
  </w:style>
  <w:style w:type="character" w:styleId="af4">
    <w:name w:val="Hyperlink"/>
    <w:uiPriority w:val="99"/>
    <w:rsid w:val="0016014B"/>
    <w:rPr>
      <w:color w:val="0000FF"/>
      <w:u w:val="single"/>
    </w:rPr>
  </w:style>
  <w:style w:type="character" w:customStyle="1" w:styleId="a9">
    <w:name w:val="Примечание Знак"/>
    <w:basedOn w:val="a0"/>
    <w:link w:val="a8"/>
    <w:rsid w:val="00EA20CE"/>
    <w:rPr>
      <w:rFonts w:ascii="Tahoma" w:eastAsia="Times New Roman" w:hAnsi="Tahoma" w:cs="Times New Roman"/>
      <w:b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A76F98"/>
    <w:rPr>
      <w:color w:val="954F72" w:themeColor="followedHyperlink"/>
      <w:u w:val="single"/>
    </w:rPr>
  </w:style>
  <w:style w:type="character" w:customStyle="1" w:styleId="ext-mb-text">
    <w:name w:val="ext-mb-text"/>
    <w:basedOn w:val="a0"/>
    <w:rsid w:val="00865E2C"/>
  </w:style>
  <w:style w:type="paragraph" w:customStyle="1" w:styleId="EBTitul0">
    <w:name w:val="_EB_Titul_0"/>
    <w:rsid w:val="00D063EA"/>
    <w:pPr>
      <w:spacing w:before="600" w:after="0" w:line="240" w:lineRule="auto"/>
      <w:contextualSpacing/>
      <w:jc w:val="center"/>
    </w:pPr>
    <w:rPr>
      <w:rFonts w:ascii="Tahoma" w:eastAsia="Times New Roman" w:hAnsi="Tahoma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CDF4-37F4-409B-97DB-A602457C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 Ахмадеев</dc:creator>
  <cp:lastModifiedBy>akhmadeev</cp:lastModifiedBy>
  <cp:revision>3</cp:revision>
  <dcterms:created xsi:type="dcterms:W3CDTF">2019-05-30T14:02:00Z</dcterms:created>
  <dcterms:modified xsi:type="dcterms:W3CDTF">2019-05-30T14:04:00Z</dcterms:modified>
</cp:coreProperties>
</file>