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RPr="002474D9" w:rsidTr="009B190F">
        <w:trPr>
          <w:jc w:val="right"/>
        </w:trPr>
        <w:tc>
          <w:tcPr>
            <w:tcW w:w="3084" w:type="dxa"/>
          </w:tcPr>
          <w:p w:rsidR="00EF5815" w:rsidRPr="002474D9" w:rsidRDefault="00EF5815" w:rsidP="00E5138C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C5C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5815" w:rsidRPr="002474D9" w:rsidRDefault="00EF5815" w:rsidP="002714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474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="001D041A" w:rsidRPr="002474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474D9" w:rsidRDefault="00EF5815" w:rsidP="00EF5815">
      <w:pPr>
        <w:rPr>
          <w:szCs w:val="28"/>
        </w:rPr>
      </w:pPr>
    </w:p>
    <w:p w:rsidR="00BD0C94" w:rsidRPr="007A633D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633D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2474D9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633D">
        <w:rPr>
          <w:rFonts w:ascii="Times New Roman" w:hAnsi="Times New Roman" w:cs="Times New Roman"/>
          <w:sz w:val="28"/>
          <w:szCs w:val="28"/>
        </w:rPr>
        <w:t>получаемые от федерального бюджета, и безвозмездные поступления от некоммерческой организации «Фонд развития моногородов»</w:t>
      </w:r>
    </w:p>
    <w:p w:rsidR="00EF5815" w:rsidRPr="002474D9" w:rsidRDefault="00AB62D8" w:rsidP="00AB62D8">
      <w:pPr>
        <w:jc w:val="center"/>
        <w:rPr>
          <w:szCs w:val="28"/>
        </w:rPr>
      </w:pPr>
      <w:r w:rsidRPr="002474D9">
        <w:rPr>
          <w:szCs w:val="28"/>
        </w:rPr>
        <w:t>в 20</w:t>
      </w:r>
      <w:r w:rsidR="0027145A">
        <w:rPr>
          <w:szCs w:val="28"/>
        </w:rPr>
        <w:t>20</w:t>
      </w:r>
      <w:r w:rsidRPr="002474D9">
        <w:rPr>
          <w:szCs w:val="28"/>
        </w:rPr>
        <w:t xml:space="preserve"> году</w:t>
      </w:r>
    </w:p>
    <w:p w:rsidR="00AB62D8" w:rsidRPr="00C222B6" w:rsidRDefault="00AB62D8" w:rsidP="00AB62D8">
      <w:pPr>
        <w:jc w:val="center"/>
        <w:rPr>
          <w:sz w:val="24"/>
          <w:szCs w:val="24"/>
        </w:rPr>
      </w:pPr>
    </w:p>
    <w:p w:rsidR="00EF5815" w:rsidRPr="002474D9" w:rsidRDefault="00EF5815" w:rsidP="00EF5815">
      <w:pPr>
        <w:ind w:right="-1"/>
        <w:jc w:val="right"/>
        <w:rPr>
          <w:sz w:val="24"/>
          <w:szCs w:val="24"/>
        </w:rPr>
      </w:pP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4962"/>
        <w:gridCol w:w="3118"/>
        <w:gridCol w:w="2268"/>
      </w:tblGrid>
      <w:tr w:rsidR="00AB62D8" w:rsidRPr="002474D9" w:rsidTr="00AB62D8">
        <w:trPr>
          <w:trHeight w:val="2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C03224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C03224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C03224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Сумма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31 312 421,7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31 294 911,0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12 581 757,5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2 02 25013 02 0000 150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1 538 838,0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мероприятия федеральной целевой программы «Развитие водохозяйственного комплекса Российской Федерации в 2012 – 2020 годах»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2 02 25016 02 0000 150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51 629,0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C222B6">
              <w:rPr>
                <w:bCs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2 02 25021 02 0000 150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997 586,7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2 02 25027 02 0000 150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9 619,2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2 02 25065 02 0000 150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57 906,1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подготовку управленческих кадров для организаций народного хозяйства </w:t>
            </w:r>
            <w:r w:rsidRPr="00C222B6">
              <w:rPr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2 02 25066 02 0000 150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1 379,7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2 02 25081 02 0000 150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18 370,0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2 02 25082 02 0000 150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46 260,4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2 02 25086 02 0000 150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1 392,0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2 02 25097 02 0000 150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5 008,0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2 02 25113 02 0000 150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313 128,0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2 02 25114 02 0000 150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428 604,0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</w:t>
            </w:r>
            <w:r w:rsidRPr="00C222B6">
              <w:rPr>
                <w:bCs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2 02 25139 02 0000 150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316 810,8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 xml:space="preserve"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C222B6">
              <w:rPr>
                <w:bCs/>
                <w:sz w:val="24"/>
                <w:szCs w:val="24"/>
              </w:rPr>
              <w:t>аккредитационных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 центров системы образования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2 02 25162 02 0000 150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70 021,3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2 02 25169 02 0000 150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38 002,3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2 02 25187 02 0000 150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12 660,4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создание центров выявления и поддержки одаренных детей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2 02 25189 02 0000 150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272 738,3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2 02 25201 02 0000 150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78 996,1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2 02 25202 02 0000 150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39 917,9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2 02 25210 02 0000 150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142 734,5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2 02 25219 02 0000 150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10 744,5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2 02 25228 02 0000 150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63 299,0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2 02 25229 02 0000 150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2 02 25232 02 0000 150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1 249 402,9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2 02 25239 02 0000 150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345 000,0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2 02 25243 02 0000 150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63 928,6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2 02 25402 02 0000 150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489 858,1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практик поддержки и развития </w:t>
            </w:r>
            <w:proofErr w:type="spellStart"/>
            <w:r w:rsidRPr="00C222B6">
              <w:rPr>
                <w:bCs/>
                <w:sz w:val="24"/>
                <w:szCs w:val="24"/>
              </w:rPr>
              <w:t>волонтерства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, реализуемых в субъектах Российской Федерации, по итогам проведения Всероссийского конкурса лучших региональных практик поддержки </w:t>
            </w:r>
            <w:proofErr w:type="spellStart"/>
            <w:r w:rsidRPr="00C222B6">
              <w:rPr>
                <w:bCs/>
                <w:sz w:val="24"/>
                <w:szCs w:val="24"/>
              </w:rPr>
              <w:t>волонтерства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 «Регион добрых дел»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2 02 25412 02 0000 150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8 372,3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модернизацию театров юного зрителя и театров кукол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2 02 25456 02 0000 150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2 02 25462 02 0000 150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16 841,2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2 02 25466 02 0000 150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33 978,0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реализацию федеральной </w:t>
            </w:r>
            <w:r w:rsidRPr="00C222B6">
              <w:rPr>
                <w:bCs/>
                <w:sz w:val="24"/>
                <w:szCs w:val="24"/>
              </w:rPr>
              <w:lastRenderedPageBreak/>
              <w:t>целевой программы «Развитие физической культуры и спорта в Российской Федерации на 2016 – 2020 годы»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2 02 25495 02 0000 150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34 183,4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2 02 25497 02 0000 150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13 342,5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2 02 25516 02 0000 150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10 448,6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2 02 25517 02 0000 150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17 257,0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2 02 25519 02 0000 150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102 770,5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2 02 25520 02 0000 150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286 458,2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2 02 25527 02 0000 150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360 026,6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2 02 25554 02 0000 150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49 873,5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2 02 25568 02 0000 150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334 453,6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2 02 25674 02 0000 150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186 333,4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Субсидии бюджетам субъектов Российской Федерации на софинансирование капитальных вложений в объекты </w:t>
            </w:r>
            <w:r w:rsidRPr="00C222B6">
              <w:rPr>
                <w:bCs/>
                <w:sz w:val="24"/>
                <w:szCs w:val="24"/>
              </w:rPr>
              <w:lastRenderedPageBreak/>
              <w:t>государственной собственности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2 02 27111 02 0000 150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1 571 463,0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2 02 27121 02 0000 150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16 067,0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2 02 27567 02 0000 150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260 766,4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2 02 29999 02 0000 150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2 568 286,5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12 202 547,6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C222B6">
              <w:rPr>
                <w:bCs/>
                <w:sz w:val="24"/>
                <w:szCs w:val="24"/>
              </w:rPr>
              <w:t>контролю за</w:t>
            </w:r>
            <w:proofErr w:type="gramEnd"/>
            <w:r w:rsidRPr="00C222B6">
              <w:rPr>
                <w:bCs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2 02 35067 02 0000 150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506,9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2 02 35118 02 0000 150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94 192,5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2 02 35120 02 0000 150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2 251,0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2 02 35128 02 0000 150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22 994,2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2 02 35129 02 0000 150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393 269,4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2 02 35135 02 0000 150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104 472,8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2 02 35137 02 0000 150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63 028,9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2 02 35176 02 0000 150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88 177,7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2 02 35220 02 0000 150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181 361,9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2 02 35250 02 0000 150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3 187 785,8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2 02 35260 02 0000 150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30 219,0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2 02 35270 02 0000 150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11 514,3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2 02 35280 02 0000 150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2 644,5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2 02 35290 02 0000 150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828 991,6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2 02 35380 02 0000 150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1 250 924,1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C222B6">
              <w:rPr>
                <w:bCs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2 02 35429 02 0000 150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143 361,9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C222B6">
              <w:rPr>
                <w:bCs/>
                <w:sz w:val="24"/>
                <w:szCs w:val="24"/>
              </w:rPr>
              <w:t>лесовосстановлению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2 02 35430 02 0000 150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4 812,2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C222B6">
              <w:rPr>
                <w:bCs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2 02 35431 02 0000 150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7 921,9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C222B6">
              <w:rPr>
                <w:bCs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C222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222B6">
              <w:rPr>
                <w:bCs/>
                <w:sz w:val="24"/>
                <w:szCs w:val="24"/>
              </w:rPr>
              <w:t>лесопожарной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2 02 35432 02 0000 150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41 584,7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C222B6">
              <w:rPr>
                <w:bCs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C222B6">
              <w:rPr>
                <w:bCs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2 02 35460 02 0000 150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1 232 675,2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на проведение Всероссийской </w:t>
            </w:r>
            <w:r w:rsidRPr="00C222B6">
              <w:rPr>
                <w:bCs/>
                <w:sz w:val="24"/>
                <w:szCs w:val="24"/>
              </w:rPr>
              <w:lastRenderedPageBreak/>
              <w:t>переписи населения 2020 года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2 02 35469 02 0000 150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60 437,4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2 02 35573 02 0000 150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4 141 153,7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2 02 35900 02 0000 150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308 266,0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6 510 605,9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2 02 45161 02 0000 150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447 692,9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2 02 45190 02 0000 150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871 283,1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2 02 45192 02 0000 150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257 948,8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2 02 45196 02 0000 150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27 396,0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proofErr w:type="gramStart"/>
            <w:r w:rsidRPr="00C222B6">
              <w:rPr>
                <w:bCs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C222B6">
              <w:rPr>
                <w:bCs/>
                <w:sz w:val="24"/>
                <w:szCs w:val="24"/>
              </w:rPr>
              <w:t>муковисцидозом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C222B6">
              <w:rPr>
                <w:bCs/>
                <w:sz w:val="24"/>
                <w:szCs w:val="24"/>
              </w:rPr>
              <w:t>гемолитико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C222B6">
              <w:rPr>
                <w:bCs/>
                <w:sz w:val="24"/>
                <w:szCs w:val="24"/>
              </w:rPr>
              <w:t>мукополисахаридозом</w:t>
            </w:r>
            <w:proofErr w:type="spellEnd"/>
            <w:r w:rsidRPr="00C222B6">
              <w:rPr>
                <w:bCs/>
                <w:sz w:val="24"/>
                <w:szCs w:val="24"/>
              </w:rPr>
              <w:t xml:space="preserve"> I, II и VI типов, а также после трансплантации органов и (или</w:t>
            </w:r>
            <w:proofErr w:type="gramEnd"/>
            <w:r w:rsidRPr="00C222B6">
              <w:rPr>
                <w:bCs/>
                <w:sz w:val="24"/>
                <w:szCs w:val="24"/>
              </w:rPr>
              <w:t>) тканей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2 02 45216 02 0000 150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10 485,7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– участников национального проекта «Повышение производительности труда и поддержка занятости»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2 02 45296 02 0000 150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63 276,1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2 02 45393 02 0000 150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2 112 000,0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2 02 45454 02 0000 150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2 02 45468 02 0000 150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523,3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2 02 45477 02 0000 150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2 700 000,0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Безвозмездные поступления, получаемые от некоммерческой организации «Фонд развития моногородов»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17 510,7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2 04 00000 00 0000 000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17 510,7</w:t>
            </w:r>
          </w:p>
        </w:tc>
      </w:tr>
      <w:tr w:rsidR="00C222B6" w:rsidRPr="00C222B6" w:rsidTr="00C222B6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C222B6" w:rsidRPr="00C222B6" w:rsidRDefault="00C222B6" w:rsidP="00C222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311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C222B6">
              <w:rPr>
                <w:bCs/>
                <w:sz w:val="24"/>
                <w:szCs w:val="24"/>
              </w:rPr>
              <w:t>2 04 02040 02 0000 150</w:t>
            </w:r>
          </w:p>
        </w:tc>
        <w:tc>
          <w:tcPr>
            <w:tcW w:w="2268" w:type="dxa"/>
            <w:shd w:val="clear" w:color="auto" w:fill="auto"/>
          </w:tcPr>
          <w:p w:rsidR="00C222B6" w:rsidRPr="00C222B6" w:rsidRDefault="00C222B6" w:rsidP="00C222B6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C222B6">
              <w:rPr>
                <w:bCs/>
                <w:color w:val="000000"/>
                <w:sz w:val="24"/>
                <w:szCs w:val="24"/>
              </w:rPr>
              <w:t>17 510,7</w:t>
            </w:r>
          </w:p>
        </w:tc>
      </w:tr>
    </w:tbl>
    <w:p w:rsidR="001D041A" w:rsidRPr="002474D9" w:rsidRDefault="001D041A" w:rsidP="001D041A">
      <w:pPr>
        <w:spacing w:line="360" w:lineRule="auto"/>
        <w:jc w:val="right"/>
        <w:rPr>
          <w:bCs/>
          <w:sz w:val="24"/>
        </w:rPr>
      </w:pPr>
      <w:r w:rsidRPr="002474D9">
        <w:rPr>
          <w:bCs/>
          <w:sz w:val="24"/>
        </w:rPr>
        <w:lastRenderedPageBreak/>
        <w:t>Таблица 2</w:t>
      </w:r>
    </w:p>
    <w:p w:rsidR="001D041A" w:rsidRPr="002474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474D9">
        <w:rPr>
          <w:bCs/>
          <w:szCs w:val="28"/>
        </w:rPr>
        <w:tab/>
      </w:r>
    </w:p>
    <w:p w:rsidR="00AB62D8" w:rsidRPr="002474D9" w:rsidRDefault="00AB62D8" w:rsidP="00AB62D8">
      <w:pPr>
        <w:pStyle w:val="ConsPlusNormal"/>
        <w:widowControl/>
        <w:tabs>
          <w:tab w:val="center" w:pos="3152"/>
          <w:tab w:val="right" w:pos="630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74D9">
        <w:rPr>
          <w:rFonts w:ascii="Times New Roman" w:hAnsi="Times New Roman" w:cs="Times New Roman"/>
          <w:sz w:val="28"/>
          <w:szCs w:val="28"/>
        </w:rPr>
        <w:t>Межбюджетные трансферты,</w:t>
      </w:r>
    </w:p>
    <w:p w:rsidR="00AB62D8" w:rsidRPr="002474D9" w:rsidRDefault="00AB62D8" w:rsidP="00AB62D8">
      <w:pPr>
        <w:pStyle w:val="ConsPlusNormal"/>
        <w:widowControl/>
        <w:ind w:firstLine="0"/>
        <w:jc w:val="center"/>
        <w:rPr>
          <w:sz w:val="28"/>
          <w:szCs w:val="28"/>
        </w:rPr>
      </w:pPr>
      <w:proofErr w:type="gramStart"/>
      <w:r w:rsidRPr="002474D9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2474D9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</w:p>
    <w:p w:rsidR="001D041A" w:rsidRPr="002474D9" w:rsidRDefault="00AB62D8" w:rsidP="00AB62D8">
      <w:pPr>
        <w:jc w:val="center"/>
        <w:rPr>
          <w:szCs w:val="28"/>
        </w:rPr>
      </w:pPr>
      <w:r w:rsidRPr="00C222B6">
        <w:rPr>
          <w:szCs w:val="28"/>
        </w:rPr>
        <w:t>в плановом периоде 20</w:t>
      </w:r>
      <w:r w:rsidR="00AF4F51" w:rsidRPr="00C222B6">
        <w:rPr>
          <w:szCs w:val="28"/>
        </w:rPr>
        <w:t>2</w:t>
      </w:r>
      <w:r w:rsidR="0027145A" w:rsidRPr="00C222B6">
        <w:rPr>
          <w:szCs w:val="28"/>
        </w:rPr>
        <w:t>1</w:t>
      </w:r>
      <w:r w:rsidRPr="00C222B6">
        <w:rPr>
          <w:szCs w:val="28"/>
        </w:rPr>
        <w:t xml:space="preserve"> и 20</w:t>
      </w:r>
      <w:r w:rsidR="00E5138C" w:rsidRPr="00C222B6">
        <w:rPr>
          <w:szCs w:val="28"/>
        </w:rPr>
        <w:t>2</w:t>
      </w:r>
      <w:r w:rsidR="0027145A" w:rsidRPr="00C222B6">
        <w:rPr>
          <w:szCs w:val="28"/>
        </w:rPr>
        <w:t>2</w:t>
      </w:r>
      <w:r w:rsidRPr="00C222B6">
        <w:rPr>
          <w:szCs w:val="28"/>
        </w:rPr>
        <w:t xml:space="preserve"> годов</w:t>
      </w:r>
    </w:p>
    <w:p w:rsidR="00AB62D8" w:rsidRPr="002474D9" w:rsidRDefault="00AB62D8" w:rsidP="00AB62D8">
      <w:pPr>
        <w:jc w:val="center"/>
        <w:rPr>
          <w:szCs w:val="28"/>
        </w:rPr>
      </w:pPr>
    </w:p>
    <w:p w:rsidR="001D041A" w:rsidRPr="002474D9" w:rsidRDefault="001D041A" w:rsidP="001D041A">
      <w:pPr>
        <w:jc w:val="right"/>
        <w:rPr>
          <w:sz w:val="24"/>
          <w:szCs w:val="24"/>
        </w:rPr>
      </w:pPr>
      <w:r w:rsidRPr="002474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AB62D8" w:rsidRPr="002474D9" w:rsidTr="00AB62D8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2D8" w:rsidRPr="00C03224" w:rsidRDefault="00AB62D8" w:rsidP="00AB62D8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C03224" w:rsidRDefault="00AB62D8" w:rsidP="00AB62D8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9B190F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Сумма</w:t>
            </w:r>
          </w:p>
        </w:tc>
      </w:tr>
      <w:tr w:rsidR="00AB62D8" w:rsidRPr="002474D9" w:rsidTr="00AB62D8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9B19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C03224" w:rsidRDefault="00AB62D8" w:rsidP="001D0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27145A">
            <w:pPr>
              <w:jc w:val="center"/>
              <w:rPr>
                <w:sz w:val="24"/>
                <w:szCs w:val="24"/>
              </w:rPr>
            </w:pPr>
            <w:r w:rsidRPr="00C03224">
              <w:rPr>
                <w:sz w:val="24"/>
                <w:szCs w:val="24"/>
              </w:rPr>
              <w:t>20</w:t>
            </w:r>
            <w:r w:rsidR="00AF4F51">
              <w:rPr>
                <w:sz w:val="24"/>
                <w:szCs w:val="24"/>
              </w:rPr>
              <w:t>2</w:t>
            </w:r>
            <w:r w:rsidR="0027145A">
              <w:rPr>
                <w:sz w:val="24"/>
                <w:szCs w:val="24"/>
              </w:rPr>
              <w:t>1</w:t>
            </w:r>
            <w:r w:rsidRPr="00C032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C03224" w:rsidRDefault="00AB62D8" w:rsidP="0027145A">
            <w:pPr>
              <w:jc w:val="center"/>
              <w:rPr>
                <w:sz w:val="24"/>
                <w:szCs w:val="24"/>
              </w:rPr>
            </w:pPr>
            <w:r w:rsidRPr="00C222B6">
              <w:rPr>
                <w:sz w:val="24"/>
                <w:szCs w:val="24"/>
              </w:rPr>
              <w:t>20</w:t>
            </w:r>
            <w:r w:rsidR="00E5138C" w:rsidRPr="00C222B6">
              <w:rPr>
                <w:sz w:val="24"/>
                <w:szCs w:val="24"/>
              </w:rPr>
              <w:t>2</w:t>
            </w:r>
            <w:r w:rsidR="0027145A" w:rsidRPr="00C222B6">
              <w:rPr>
                <w:sz w:val="24"/>
                <w:szCs w:val="24"/>
              </w:rPr>
              <w:t>2</w:t>
            </w:r>
            <w:r w:rsidRPr="00C222B6">
              <w:rPr>
                <w:sz w:val="24"/>
                <w:szCs w:val="24"/>
              </w:rPr>
              <w:t xml:space="preserve"> год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27 685 661,0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26 250 774,0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27 685 661,0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26 250 774,0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9 267 842,6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8 684 691,9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2 </w:t>
            </w:r>
            <w:bookmarkStart w:id="0" w:name="_GoBack"/>
            <w:bookmarkEnd w:id="0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02 25013 02 0000 150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1 216 958,0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1 019 770,0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520 492,6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1 379,7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1 414,2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18 370,0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18 963,5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предоставление жилых помещений детям-сиротам и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2 02 25082 02 0000 150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46 260,4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48 101,8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1 392,0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1 440,0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2 02 25097 02 0000 150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5 008,0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5 329,8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119 858,0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175 652,0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2 02 25139 02 0000 150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147 983,1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209 341,7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аккредитационных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 центров системы образования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2 02 25162 02 0000 150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19 923,1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2 02 25169 02 0000 150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68 462,3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78 410,1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11 829,4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12 777,1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78 996,1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81 471,5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39 917,9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41 075,5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2 02 25219 02 0000 150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14 993,3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2 02 25228 02 0000 150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14 997,3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14 997,3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10 061,4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2 02 25230 02 0000 150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57 100,3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по образовательным программам дошкольного образования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2 02 25232 02 0000 150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1 485 416,7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2 02 25243 02 0000 150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135 731,9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205 639,6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мобильных технопарков «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2 02 25247 02 0000 150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59 268,4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489 858,1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489 858,1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16 654,8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16 713,7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33 978,0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33 978,0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17 457,8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22 504,5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Волге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2 02 25500 02 0000 150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474 800,0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909 278,7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17 257,0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17 257,0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36 612,9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87 602,5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2 02 25520 02 0000 150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233 071,4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233 071,5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213 474,9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1 878 504,9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49 715,4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74 382,5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122 756,0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246 031,0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2 02 27111 02 0000 150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923 000,0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софинансирование капитальных вложений в объекты государственной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2 02 27567 02 0000 150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107 881,2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112 555,0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2 559 003,3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2 546 492,3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12 433 667,7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13 046 014,1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2 02 35067 02 0000 150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506,9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506,9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19 580,0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98 620,0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94 193,2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95 667,5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19 028,9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24 636,9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24 636,9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отдельных полномочий в области лесных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2 02 35129 02 0000 150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336 422,4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364 050,3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104 472,8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104 472,8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2 02 35137 02 0000 150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65 146,8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67 333,3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88 177,7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88 177,7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188 607,0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196 150,4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3 187 675,7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3 187 604,4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2 02 35260 02 0000 150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31 427,8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32 684,9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2 02 35270 02 0000 150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11 870,4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12 335,4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2 02 35280 02 0000 150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2 644,5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2 644,5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830 657,3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832 477,2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2 02 35380 02 0000 150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1 289 213,9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1 339 699,0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135 824,9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140 058,0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лесовосстановлению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2 02 35430 02 0000 150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5 153,8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2 748,1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9 517,4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8 325,4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2 02 35432 02 0000 150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32 480,3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75 776,2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1 232 675,2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2 02 35573 02 0000 150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4 483 447,8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4 855 780,2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256 940,8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264 560,9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5 984 150,7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4 520 068,0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454 617,7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2 02 45190 02 0000 150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422 990,0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2 02 45192 02 0000 150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323 394,6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proofErr w:type="gram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 I, II и VI типов, а также после трансплантации органов и (или</w:t>
            </w:r>
            <w:proofErr w:type="gramEnd"/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) тканей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2 02 45216 02 0000 150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10 485,7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– участников национального проекта «Повышение производительности труда и поддержка занятости»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2 02 45296 02 0000 150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53 144,7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89 782,1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2 02 45393 02 0000 150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2 112 000,0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2 02 45453 02 0000 150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3 500,0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2 02 45454 02 0000 150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реновацию учреждений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2 02 45455 02 0000 150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414 775,0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522,9</w:t>
            </w:r>
          </w:p>
        </w:tc>
      </w:tr>
      <w:tr w:rsidR="00C222B6" w:rsidRPr="00C222B6" w:rsidTr="00C222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222B6" w:rsidRPr="00C222B6" w:rsidRDefault="00C222B6" w:rsidP="00C222B6">
            <w:pPr>
              <w:jc w:val="both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000000" w:fill="FFFFFF"/>
          </w:tcPr>
          <w:p w:rsidR="00C222B6" w:rsidRPr="00C222B6" w:rsidRDefault="00C222B6" w:rsidP="00C222B6">
            <w:pPr>
              <w:jc w:val="center"/>
              <w:rPr>
                <w:rFonts w:ascii="9" w:hAnsi="9"/>
                <w:bCs/>
                <w:color w:val="000000"/>
                <w:sz w:val="24"/>
                <w:szCs w:val="24"/>
              </w:rPr>
            </w:pPr>
            <w:r w:rsidRPr="00C222B6">
              <w:rPr>
                <w:rFonts w:ascii="9" w:hAnsi="9"/>
                <w:bCs/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1985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2 780 000,0</w:t>
            </w:r>
          </w:p>
        </w:tc>
        <w:tc>
          <w:tcPr>
            <w:tcW w:w="1842" w:type="dxa"/>
            <w:shd w:val="clear" w:color="000000" w:fill="FFFFFF"/>
          </w:tcPr>
          <w:p w:rsidR="00C222B6" w:rsidRPr="00C222B6" w:rsidRDefault="00C222B6" w:rsidP="00C222B6">
            <w:pPr>
              <w:jc w:val="right"/>
              <w:rPr>
                <w:color w:val="000000"/>
                <w:sz w:val="24"/>
                <w:szCs w:val="24"/>
              </w:rPr>
            </w:pPr>
            <w:r w:rsidRPr="00C222B6">
              <w:rPr>
                <w:color w:val="000000"/>
                <w:sz w:val="24"/>
                <w:szCs w:val="24"/>
              </w:rPr>
              <w:t>2 780 000,0</w:t>
            </w:r>
          </w:p>
        </w:tc>
      </w:tr>
    </w:tbl>
    <w:p w:rsidR="000B7CEC" w:rsidRDefault="000B7CEC" w:rsidP="00C222B6"/>
    <w:sectPr w:rsidR="000B7CEC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67" w:rsidRDefault="00AF0C67" w:rsidP="00061BD1">
      <w:r>
        <w:separator/>
      </w:r>
    </w:p>
  </w:endnote>
  <w:endnote w:type="continuationSeparator" w:id="0">
    <w:p w:rsidR="00AF0C67" w:rsidRDefault="00AF0C67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9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67" w:rsidRDefault="00AF0C67" w:rsidP="00061BD1">
      <w:r>
        <w:separator/>
      </w:r>
    </w:p>
  </w:footnote>
  <w:footnote w:type="continuationSeparator" w:id="0">
    <w:p w:rsidR="00AF0C67" w:rsidRDefault="00AF0C67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061BD1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C222B6">
          <w:rPr>
            <w:noProof/>
            <w:sz w:val="24"/>
            <w:szCs w:val="24"/>
          </w:rPr>
          <w:t>2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517EB"/>
    <w:rsid w:val="00177446"/>
    <w:rsid w:val="001938AD"/>
    <w:rsid w:val="001D041A"/>
    <w:rsid w:val="00245BDA"/>
    <w:rsid w:val="002474D9"/>
    <w:rsid w:val="0027145A"/>
    <w:rsid w:val="002C65E0"/>
    <w:rsid w:val="00316A29"/>
    <w:rsid w:val="003C5CEB"/>
    <w:rsid w:val="003D1D48"/>
    <w:rsid w:val="003D708F"/>
    <w:rsid w:val="00563E25"/>
    <w:rsid w:val="006463C6"/>
    <w:rsid w:val="00697417"/>
    <w:rsid w:val="00697F49"/>
    <w:rsid w:val="00876E43"/>
    <w:rsid w:val="008C131A"/>
    <w:rsid w:val="00A67B7A"/>
    <w:rsid w:val="00AB62D8"/>
    <w:rsid w:val="00AE2D6D"/>
    <w:rsid w:val="00AF0C67"/>
    <w:rsid w:val="00AF215A"/>
    <w:rsid w:val="00AF4F51"/>
    <w:rsid w:val="00B1031E"/>
    <w:rsid w:val="00BD0C94"/>
    <w:rsid w:val="00C03224"/>
    <w:rsid w:val="00C222B6"/>
    <w:rsid w:val="00E5138C"/>
    <w:rsid w:val="00ED4DC3"/>
    <w:rsid w:val="00ED73E1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DAFD-B3A1-4672-A577-7892F025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30</cp:revision>
  <cp:lastPrinted>2018-09-20T11:51:00Z</cp:lastPrinted>
  <dcterms:created xsi:type="dcterms:W3CDTF">2016-09-14T11:16:00Z</dcterms:created>
  <dcterms:modified xsi:type="dcterms:W3CDTF">2019-09-25T16:30:00Z</dcterms:modified>
</cp:coreProperties>
</file>