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5A" w:rsidRDefault="001B315A" w:rsidP="00F6763C">
      <w:pPr>
        <w:jc w:val="center"/>
        <w:outlineLvl w:val="2"/>
        <w:rPr>
          <w:b/>
          <w:sz w:val="28"/>
          <w:szCs w:val="28"/>
        </w:rPr>
      </w:pPr>
    </w:p>
    <w:p w:rsidR="001B315A" w:rsidRDefault="001B315A" w:rsidP="00F6763C">
      <w:pPr>
        <w:jc w:val="center"/>
        <w:outlineLvl w:val="2"/>
        <w:rPr>
          <w:b/>
          <w:sz w:val="28"/>
          <w:szCs w:val="28"/>
        </w:rPr>
      </w:pPr>
    </w:p>
    <w:p w:rsidR="00F6763C" w:rsidRDefault="00F6763C" w:rsidP="00F6763C">
      <w:pPr>
        <w:jc w:val="center"/>
        <w:outlineLvl w:val="2"/>
        <w:rPr>
          <w:b/>
          <w:sz w:val="28"/>
          <w:szCs w:val="28"/>
        </w:rPr>
      </w:pPr>
      <w:r w:rsidRPr="00081CAC">
        <w:rPr>
          <w:b/>
          <w:sz w:val="28"/>
          <w:szCs w:val="28"/>
        </w:rPr>
        <w:t>ОСНОВНЫЕ НАПРАВЛЕНИЯ</w:t>
      </w:r>
      <w:r>
        <w:rPr>
          <w:b/>
          <w:sz w:val="28"/>
          <w:szCs w:val="28"/>
        </w:rPr>
        <w:t xml:space="preserve"> </w:t>
      </w:r>
    </w:p>
    <w:p w:rsidR="00F6763C" w:rsidRDefault="00F6763C" w:rsidP="00F6763C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бюджетной и</w:t>
      </w:r>
      <w:r w:rsidRPr="00081CAC">
        <w:rPr>
          <w:b/>
          <w:sz w:val="28"/>
          <w:szCs w:val="28"/>
        </w:rPr>
        <w:t xml:space="preserve"> налоговой политики</w:t>
      </w:r>
      <w:r w:rsidRPr="004C0BFD">
        <w:rPr>
          <w:b/>
          <w:sz w:val="28"/>
          <w:szCs w:val="28"/>
        </w:rPr>
        <w:t xml:space="preserve"> </w:t>
      </w:r>
      <w:r w:rsidRPr="00081CAC">
        <w:rPr>
          <w:b/>
          <w:sz w:val="28"/>
          <w:szCs w:val="28"/>
        </w:rPr>
        <w:t xml:space="preserve">Республики Татарстан </w:t>
      </w:r>
    </w:p>
    <w:p w:rsidR="00F6763C" w:rsidRDefault="00F6763C" w:rsidP="00F6763C">
      <w:pPr>
        <w:jc w:val="center"/>
        <w:outlineLvl w:val="2"/>
        <w:rPr>
          <w:b/>
          <w:bCs/>
          <w:sz w:val="28"/>
          <w:szCs w:val="28"/>
        </w:rPr>
      </w:pPr>
      <w:r w:rsidRPr="00081CAC">
        <w:rPr>
          <w:b/>
          <w:sz w:val="28"/>
          <w:szCs w:val="28"/>
        </w:rPr>
        <w:t>на 201</w:t>
      </w:r>
      <w:r w:rsidR="000B1986">
        <w:rPr>
          <w:b/>
          <w:sz w:val="28"/>
          <w:szCs w:val="28"/>
        </w:rPr>
        <w:t>9</w:t>
      </w:r>
      <w:r w:rsidRPr="00081CAC">
        <w:rPr>
          <w:b/>
          <w:sz w:val="28"/>
          <w:szCs w:val="28"/>
        </w:rPr>
        <w:t xml:space="preserve"> год и</w:t>
      </w:r>
      <w:r w:rsidRPr="004C0BFD">
        <w:rPr>
          <w:b/>
          <w:sz w:val="28"/>
          <w:szCs w:val="28"/>
        </w:rPr>
        <w:t xml:space="preserve"> </w:t>
      </w:r>
      <w:r w:rsidRPr="00081CAC">
        <w:rPr>
          <w:b/>
          <w:sz w:val="28"/>
          <w:szCs w:val="28"/>
        </w:rPr>
        <w:t>плановый период 20</w:t>
      </w:r>
      <w:r w:rsidR="000B1986">
        <w:rPr>
          <w:b/>
          <w:sz w:val="28"/>
          <w:szCs w:val="28"/>
        </w:rPr>
        <w:t>20</w:t>
      </w:r>
      <w:r w:rsidRPr="00081CAC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</w:t>
      </w:r>
      <w:r w:rsidR="000B1986">
        <w:rPr>
          <w:b/>
          <w:sz w:val="28"/>
          <w:szCs w:val="28"/>
        </w:rPr>
        <w:t>1</w:t>
      </w:r>
      <w:r w:rsidRPr="00081CAC">
        <w:rPr>
          <w:b/>
          <w:sz w:val="28"/>
          <w:szCs w:val="28"/>
        </w:rPr>
        <w:t xml:space="preserve"> годов</w:t>
      </w:r>
    </w:p>
    <w:p w:rsidR="00BA3F90" w:rsidRPr="006667F2" w:rsidRDefault="00BA3F90" w:rsidP="00BA3F90">
      <w:pPr>
        <w:spacing w:line="288" w:lineRule="auto"/>
        <w:ind w:right="-57" w:firstLine="567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</w:p>
    <w:p w:rsidR="005C2FCD" w:rsidRPr="00015C98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proofErr w:type="gramStart"/>
      <w:r w:rsidRPr="00015C98">
        <w:rPr>
          <w:sz w:val="28"/>
          <w:szCs w:val="28"/>
        </w:rPr>
        <w:t>Основные направления бюджетной и налоговой политики Республики Татарстан на 2019 год и на плановый период 2020 и 2021 годов сформиров</w:t>
      </w:r>
      <w:r w:rsidRPr="00015C98">
        <w:rPr>
          <w:sz w:val="28"/>
          <w:szCs w:val="28"/>
        </w:rPr>
        <w:t>а</w:t>
      </w:r>
      <w:r w:rsidRPr="00015C98">
        <w:rPr>
          <w:sz w:val="28"/>
          <w:szCs w:val="28"/>
        </w:rPr>
        <w:t>ны в рамках подготовки проекта бюджета Республики Татарстан на очере</w:t>
      </w:r>
      <w:r w:rsidRPr="00015C98">
        <w:rPr>
          <w:sz w:val="28"/>
          <w:szCs w:val="28"/>
        </w:rPr>
        <w:t>д</w:t>
      </w:r>
      <w:r w:rsidRPr="00015C98">
        <w:rPr>
          <w:sz w:val="28"/>
          <w:szCs w:val="28"/>
        </w:rPr>
        <w:t>ной финансовый год и двухлетний плановый период</w:t>
      </w:r>
      <w:r>
        <w:rPr>
          <w:sz w:val="28"/>
          <w:szCs w:val="28"/>
        </w:rPr>
        <w:t>,</w:t>
      </w:r>
      <w:r w:rsidRPr="00015C98">
        <w:rPr>
          <w:sz w:val="28"/>
          <w:szCs w:val="28"/>
        </w:rPr>
        <w:t xml:space="preserve"> исходя из положений</w:t>
      </w:r>
      <w:r>
        <w:rPr>
          <w:sz w:val="28"/>
          <w:szCs w:val="28"/>
        </w:rPr>
        <w:t>, формируемых на федеральном уровне о</w:t>
      </w:r>
      <w:r w:rsidRPr="00015C98">
        <w:rPr>
          <w:sz w:val="28"/>
          <w:szCs w:val="28"/>
        </w:rPr>
        <w:t>сновных направлений бюджетной, налоговой и таможенно-тарифной политики Российской Федерации на 2019 год и на плановый период 2020 и</w:t>
      </w:r>
      <w:proofErr w:type="gramEnd"/>
      <w:r w:rsidRPr="00015C98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годов, п</w:t>
      </w:r>
      <w:r w:rsidRPr="00015C98">
        <w:rPr>
          <w:sz w:val="28"/>
          <w:szCs w:val="28"/>
        </w:rPr>
        <w:t>ослания Президента Республ</w:t>
      </w:r>
      <w:r w:rsidRPr="00015C98">
        <w:rPr>
          <w:sz w:val="28"/>
          <w:szCs w:val="28"/>
        </w:rPr>
        <w:t>и</w:t>
      </w:r>
      <w:r w:rsidRPr="00015C98">
        <w:rPr>
          <w:sz w:val="28"/>
          <w:szCs w:val="28"/>
        </w:rPr>
        <w:t>ки Татарстан Государственному Совету Республики Татарстан</w:t>
      </w:r>
      <w:r>
        <w:rPr>
          <w:sz w:val="28"/>
          <w:szCs w:val="28"/>
        </w:rPr>
        <w:t xml:space="preserve">, </w:t>
      </w:r>
      <w:r w:rsidRPr="00015C98">
        <w:rPr>
          <w:sz w:val="28"/>
          <w:szCs w:val="28"/>
        </w:rPr>
        <w:t xml:space="preserve">федеральных законов, вносящих изменения в </w:t>
      </w:r>
      <w:r>
        <w:rPr>
          <w:sz w:val="28"/>
          <w:szCs w:val="28"/>
        </w:rPr>
        <w:t xml:space="preserve">бюджетную и </w:t>
      </w:r>
      <w:r w:rsidRPr="00015C98">
        <w:rPr>
          <w:sz w:val="28"/>
          <w:szCs w:val="28"/>
        </w:rPr>
        <w:t>налоговую систему Российской Федерации.</w:t>
      </w:r>
    </w:p>
    <w:p w:rsidR="005C2FCD" w:rsidRPr="00920CB2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5C2FCD" w:rsidRPr="00920CB2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920CB2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мер налоговой и </w:t>
      </w:r>
      <w:r w:rsidRPr="00920CB2">
        <w:rPr>
          <w:sz w:val="28"/>
          <w:szCs w:val="28"/>
        </w:rPr>
        <w:t>бюджетной политики Республики Татарстан в предыдущие годы способствовала обеспечению исполнения бюджета без привлечения коммерческих заимствований, формированию профицита бю</w:t>
      </w:r>
      <w:r w:rsidRPr="00920CB2">
        <w:rPr>
          <w:sz w:val="28"/>
          <w:szCs w:val="28"/>
        </w:rPr>
        <w:t>д</w:t>
      </w:r>
      <w:r w:rsidRPr="00920CB2">
        <w:rPr>
          <w:sz w:val="28"/>
          <w:szCs w:val="28"/>
        </w:rPr>
        <w:t>жета республики по итогам 2017 года и снижению уровня долговой нагрузки до 44 процентов от общего годового объема доходов бюджета Республики Татарстан без учета безвозмездных поступлений.</w:t>
      </w:r>
    </w:p>
    <w:p w:rsidR="005C2FCD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Реализация мер</w:t>
      </w:r>
      <w:r w:rsidRPr="00920CB2">
        <w:rPr>
          <w:sz w:val="28"/>
          <w:szCs w:val="28"/>
        </w:rPr>
        <w:t xml:space="preserve"> по привлечению перспективных налогоплательщиков за счет предоставления поддержки их инвестиционной деятельности</w:t>
      </w:r>
      <w:r>
        <w:rPr>
          <w:sz w:val="28"/>
          <w:szCs w:val="28"/>
        </w:rPr>
        <w:t>, а т</w:t>
      </w:r>
      <w:r w:rsidRPr="00920CB2">
        <w:rPr>
          <w:sz w:val="28"/>
          <w:szCs w:val="28"/>
        </w:rPr>
        <w:t>акже осуществл</w:t>
      </w:r>
      <w:r>
        <w:rPr>
          <w:sz w:val="28"/>
          <w:szCs w:val="28"/>
        </w:rPr>
        <w:t>ение</w:t>
      </w:r>
      <w:r w:rsidRPr="00920CB2">
        <w:rPr>
          <w:sz w:val="28"/>
          <w:szCs w:val="28"/>
        </w:rPr>
        <w:t xml:space="preserve"> мероприят</w:t>
      </w:r>
      <w:r>
        <w:rPr>
          <w:sz w:val="28"/>
          <w:szCs w:val="28"/>
        </w:rPr>
        <w:t>ий</w:t>
      </w:r>
      <w:r w:rsidRPr="00920CB2">
        <w:rPr>
          <w:sz w:val="28"/>
          <w:szCs w:val="28"/>
        </w:rPr>
        <w:t xml:space="preserve"> по наращиванию объема налоговых и неналог</w:t>
      </w:r>
      <w:r w:rsidRPr="00920CB2">
        <w:rPr>
          <w:sz w:val="28"/>
          <w:szCs w:val="28"/>
        </w:rPr>
        <w:t>о</w:t>
      </w:r>
      <w:r w:rsidRPr="00920CB2">
        <w:rPr>
          <w:sz w:val="28"/>
          <w:szCs w:val="28"/>
        </w:rPr>
        <w:t>вых доходов</w:t>
      </w:r>
      <w:r>
        <w:rPr>
          <w:sz w:val="28"/>
          <w:szCs w:val="28"/>
        </w:rPr>
        <w:t xml:space="preserve"> </w:t>
      </w:r>
      <w:r w:rsidRPr="00920CB2">
        <w:rPr>
          <w:sz w:val="28"/>
          <w:szCs w:val="28"/>
        </w:rPr>
        <w:t>непосредственно отразились на поступлениях в консолидир</w:t>
      </w:r>
      <w:r w:rsidRPr="00920CB2">
        <w:rPr>
          <w:sz w:val="28"/>
          <w:szCs w:val="28"/>
        </w:rPr>
        <w:t>о</w:t>
      </w:r>
      <w:r w:rsidRPr="00920CB2">
        <w:rPr>
          <w:sz w:val="28"/>
          <w:szCs w:val="28"/>
        </w:rPr>
        <w:t>ванный бюджет республики – за последние годы Республика Татарстан ост</w:t>
      </w:r>
      <w:r w:rsidRPr="00920CB2">
        <w:rPr>
          <w:sz w:val="28"/>
          <w:szCs w:val="28"/>
        </w:rPr>
        <w:t>а</w:t>
      </w:r>
      <w:r w:rsidRPr="00920CB2">
        <w:rPr>
          <w:sz w:val="28"/>
          <w:szCs w:val="28"/>
        </w:rPr>
        <w:t>ется безусловным лидером по мобилизации налоговых и неналоговых дох</w:t>
      </w:r>
      <w:r w:rsidRPr="00920CB2">
        <w:rPr>
          <w:sz w:val="28"/>
          <w:szCs w:val="28"/>
        </w:rPr>
        <w:t>о</w:t>
      </w:r>
      <w:r w:rsidRPr="00920CB2">
        <w:rPr>
          <w:sz w:val="28"/>
          <w:szCs w:val="28"/>
        </w:rPr>
        <w:t>дов в консолидированный бюджет среди субъектов Приволжского федерал</w:t>
      </w:r>
      <w:r w:rsidRPr="00920CB2">
        <w:rPr>
          <w:sz w:val="28"/>
          <w:szCs w:val="28"/>
        </w:rPr>
        <w:t>ь</w:t>
      </w:r>
      <w:r w:rsidRPr="00920CB2">
        <w:rPr>
          <w:sz w:val="28"/>
          <w:szCs w:val="28"/>
        </w:rPr>
        <w:t>ного округа.</w:t>
      </w:r>
      <w:proofErr w:type="gramEnd"/>
      <w:r w:rsidRPr="00920CB2">
        <w:rPr>
          <w:sz w:val="28"/>
          <w:szCs w:val="28"/>
        </w:rPr>
        <w:t xml:space="preserve"> Поступления налоговых и неналоговых доходов в консолидир</w:t>
      </w:r>
      <w:r w:rsidRPr="00920CB2">
        <w:rPr>
          <w:sz w:val="28"/>
          <w:szCs w:val="28"/>
        </w:rPr>
        <w:t>о</w:t>
      </w:r>
      <w:r w:rsidRPr="00920CB2">
        <w:rPr>
          <w:sz w:val="28"/>
          <w:szCs w:val="28"/>
        </w:rPr>
        <w:t>ванный бюджет Республики Татарстан за 2017 год составили 258,0 млрд. ру</w:t>
      </w:r>
      <w:r w:rsidRPr="00920CB2">
        <w:rPr>
          <w:sz w:val="28"/>
          <w:szCs w:val="28"/>
        </w:rPr>
        <w:t>б</w:t>
      </w:r>
      <w:r w:rsidRPr="00920CB2">
        <w:rPr>
          <w:sz w:val="28"/>
          <w:szCs w:val="28"/>
        </w:rPr>
        <w:t xml:space="preserve">лей, с </w:t>
      </w:r>
      <w:r>
        <w:rPr>
          <w:sz w:val="28"/>
          <w:szCs w:val="28"/>
        </w:rPr>
        <w:t>увеличением</w:t>
      </w:r>
      <w:r w:rsidRPr="00920CB2">
        <w:rPr>
          <w:sz w:val="28"/>
          <w:szCs w:val="28"/>
        </w:rPr>
        <w:t xml:space="preserve"> к предыдущему году на </w:t>
      </w:r>
      <w:r>
        <w:rPr>
          <w:sz w:val="28"/>
          <w:szCs w:val="28"/>
        </w:rPr>
        <w:t>1</w:t>
      </w:r>
      <w:r w:rsidRPr="00920CB2">
        <w:rPr>
          <w:sz w:val="28"/>
          <w:szCs w:val="28"/>
        </w:rPr>
        <w:t>0 процентов, или на 24,1 млрд. рублей.</w:t>
      </w:r>
      <w:r>
        <w:rPr>
          <w:sz w:val="28"/>
          <w:szCs w:val="28"/>
        </w:rPr>
        <w:t xml:space="preserve"> По ожидаемой оценке, исполнение консолидированного бюджета Республики Татарстан по налоговым и неналоговым доходам в сопоставимых условиях изменения федерального законодательства за 2018 год превысит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ответствующий показатель за предыдущий год на 6 процентов. Данный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 превышает прогнозный уровень инфляции на 2018 год.</w:t>
      </w:r>
    </w:p>
    <w:p w:rsidR="005C2FCD" w:rsidRPr="00015C98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5C2FCD" w:rsidRPr="00345FBF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920CB2">
        <w:rPr>
          <w:sz w:val="28"/>
          <w:szCs w:val="28"/>
        </w:rPr>
        <w:lastRenderedPageBreak/>
        <w:t>Основными целями налоговой политики являются, с одной стороны, с</w:t>
      </w:r>
      <w:r w:rsidRPr="00920CB2">
        <w:rPr>
          <w:sz w:val="28"/>
          <w:szCs w:val="28"/>
        </w:rPr>
        <w:t>о</w:t>
      </w:r>
      <w:r w:rsidRPr="00920CB2">
        <w:rPr>
          <w:sz w:val="28"/>
          <w:szCs w:val="28"/>
        </w:rPr>
        <w:t>хранение бюджетной устойчивости, получение необходимого объема доходов бюджетов, а с другой стороны – улучшение инвестиционного климата, по</w:t>
      </w:r>
      <w:r w:rsidRPr="00920CB2">
        <w:rPr>
          <w:sz w:val="28"/>
          <w:szCs w:val="28"/>
        </w:rPr>
        <w:t>д</w:t>
      </w:r>
      <w:r w:rsidRPr="00920CB2">
        <w:rPr>
          <w:sz w:val="28"/>
          <w:szCs w:val="28"/>
        </w:rPr>
        <w:t>держка инвестиционной активности, создание условий для развития предпр</w:t>
      </w:r>
      <w:r w:rsidRPr="00920CB2">
        <w:rPr>
          <w:sz w:val="28"/>
          <w:szCs w:val="28"/>
        </w:rPr>
        <w:t>и</w:t>
      </w:r>
      <w:r w:rsidRPr="00920CB2">
        <w:rPr>
          <w:sz w:val="28"/>
          <w:szCs w:val="28"/>
        </w:rPr>
        <w:t>нимательской деятельности. Кроме того, реализация социальной политики в Республике Татарстан остается значимым аспектом в области налогооблож</w:t>
      </w:r>
      <w:r w:rsidRPr="00920CB2">
        <w:rPr>
          <w:sz w:val="28"/>
          <w:szCs w:val="28"/>
        </w:rPr>
        <w:t>е</w:t>
      </w:r>
      <w:r w:rsidRPr="00920CB2">
        <w:rPr>
          <w:sz w:val="28"/>
          <w:szCs w:val="28"/>
        </w:rPr>
        <w:t>ния.</w:t>
      </w:r>
    </w:p>
    <w:p w:rsidR="005C2FCD" w:rsidRPr="0036238A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015C98">
        <w:rPr>
          <w:sz w:val="28"/>
          <w:szCs w:val="28"/>
        </w:rPr>
        <w:t>В целях повышения конкурентоспособности экономики региона, обесп</w:t>
      </w:r>
      <w:r w:rsidRPr="00015C98">
        <w:rPr>
          <w:sz w:val="28"/>
          <w:szCs w:val="28"/>
        </w:rPr>
        <w:t>е</w:t>
      </w:r>
      <w:r w:rsidRPr="00015C98">
        <w:rPr>
          <w:sz w:val="28"/>
          <w:szCs w:val="28"/>
        </w:rPr>
        <w:t>чения дальнейшего устойчивого роста налоговых доходов консолидирова</w:t>
      </w:r>
      <w:r w:rsidRPr="00015C98">
        <w:rPr>
          <w:sz w:val="28"/>
          <w:szCs w:val="28"/>
        </w:rPr>
        <w:t>н</w:t>
      </w:r>
      <w:r w:rsidRPr="00015C98">
        <w:rPr>
          <w:sz w:val="28"/>
          <w:szCs w:val="28"/>
        </w:rPr>
        <w:t xml:space="preserve">ного бюджета Республики Татарстан, повышения долгосрочной устойчивости и сбалансированности консолидированного бюджета Республики Татарстан будет продолжена работа по дальнейшему совершенствованию налогового законодательства Республики Татарстан. </w:t>
      </w:r>
      <w:r w:rsidRPr="0036238A">
        <w:rPr>
          <w:sz w:val="28"/>
          <w:szCs w:val="28"/>
        </w:rPr>
        <w:t>При этом необходимым условием развития экономики продолжает оставаться технологическое обновление и модернизация производств. Для поддержки инвестиций в экономику и стим</w:t>
      </w:r>
      <w:r w:rsidRPr="0036238A">
        <w:rPr>
          <w:sz w:val="28"/>
          <w:szCs w:val="28"/>
        </w:rPr>
        <w:t>у</w:t>
      </w:r>
      <w:r w:rsidRPr="0036238A">
        <w:rPr>
          <w:sz w:val="28"/>
          <w:szCs w:val="28"/>
        </w:rPr>
        <w:t>лирования инновационной деятельности на территории республики продо</w:t>
      </w:r>
      <w:r w:rsidRPr="0036238A">
        <w:rPr>
          <w:sz w:val="28"/>
          <w:szCs w:val="28"/>
        </w:rPr>
        <w:t>л</w:t>
      </w:r>
      <w:r w:rsidRPr="0036238A">
        <w:rPr>
          <w:sz w:val="28"/>
          <w:szCs w:val="28"/>
        </w:rPr>
        <w:t>жат действовать пониженные ставки по налогу на прибыль и налогу на им</w:t>
      </w:r>
      <w:r w:rsidRPr="0036238A">
        <w:rPr>
          <w:sz w:val="28"/>
          <w:szCs w:val="28"/>
        </w:rPr>
        <w:t>у</w:t>
      </w:r>
      <w:r w:rsidRPr="0036238A">
        <w:rPr>
          <w:sz w:val="28"/>
          <w:szCs w:val="28"/>
        </w:rPr>
        <w:t>щество организаций</w:t>
      </w:r>
      <w:r>
        <w:rPr>
          <w:sz w:val="28"/>
          <w:szCs w:val="28"/>
        </w:rPr>
        <w:t>.</w:t>
      </w:r>
    </w:p>
    <w:p w:rsidR="005C2FCD" w:rsidRPr="00920CB2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920CB2">
        <w:rPr>
          <w:sz w:val="28"/>
          <w:szCs w:val="28"/>
        </w:rPr>
        <w:t>По налогу на имущество организаций продлен на 2019 год срок действия пониженных ставок следующим категориям налогоплательщиков</w:t>
      </w:r>
      <w:r>
        <w:rPr>
          <w:sz w:val="28"/>
          <w:szCs w:val="28"/>
        </w:rPr>
        <w:t>:</w:t>
      </w:r>
      <w:r w:rsidRPr="00920CB2">
        <w:rPr>
          <w:sz w:val="28"/>
          <w:szCs w:val="28"/>
        </w:rPr>
        <w:t xml:space="preserve"> организ</w:t>
      </w:r>
      <w:r w:rsidRPr="00920CB2">
        <w:rPr>
          <w:sz w:val="28"/>
          <w:szCs w:val="28"/>
        </w:rPr>
        <w:t>а</w:t>
      </w:r>
      <w:r w:rsidRPr="00920CB2">
        <w:rPr>
          <w:sz w:val="28"/>
          <w:szCs w:val="28"/>
        </w:rPr>
        <w:t xml:space="preserve">циям, производящим синтетические, полусинтетические моторные масла; технопаркам, индустриальным паркам, </w:t>
      </w:r>
      <w:proofErr w:type="spellStart"/>
      <w:r w:rsidRPr="00920CB2">
        <w:rPr>
          <w:sz w:val="28"/>
          <w:szCs w:val="28"/>
        </w:rPr>
        <w:t>инновационно</w:t>
      </w:r>
      <w:proofErr w:type="spellEnd"/>
      <w:r w:rsidRPr="00920CB2">
        <w:rPr>
          <w:sz w:val="28"/>
          <w:szCs w:val="28"/>
        </w:rPr>
        <w:t>-технологическим це</w:t>
      </w:r>
      <w:r w:rsidRPr="00920CB2">
        <w:rPr>
          <w:sz w:val="28"/>
          <w:szCs w:val="28"/>
        </w:rPr>
        <w:t>н</w:t>
      </w:r>
      <w:r w:rsidRPr="00920CB2">
        <w:rPr>
          <w:sz w:val="28"/>
          <w:szCs w:val="28"/>
        </w:rPr>
        <w:t>трам; а также научно-исследовательским и конструкторским учреждениям.</w:t>
      </w:r>
    </w:p>
    <w:p w:rsidR="005C2FCD" w:rsidRPr="00920CB2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920CB2">
        <w:rPr>
          <w:sz w:val="28"/>
          <w:szCs w:val="28"/>
        </w:rPr>
        <w:t>Кроме того, до 1 января 2022 года пролонгировано действие налоговых преференций в отношении объектов социально-культурной сферы, использ</w:t>
      </w:r>
      <w:r w:rsidRPr="00920CB2">
        <w:rPr>
          <w:sz w:val="28"/>
          <w:szCs w:val="28"/>
        </w:rPr>
        <w:t>у</w:t>
      </w:r>
      <w:r w:rsidRPr="00920CB2">
        <w:rPr>
          <w:sz w:val="28"/>
          <w:szCs w:val="28"/>
        </w:rPr>
        <w:t>емых организациями для ну</w:t>
      </w:r>
      <w:proofErr w:type="gramStart"/>
      <w:r w:rsidRPr="00920CB2">
        <w:rPr>
          <w:sz w:val="28"/>
          <w:szCs w:val="28"/>
        </w:rPr>
        <w:t>жд здр</w:t>
      </w:r>
      <w:proofErr w:type="gramEnd"/>
      <w:r w:rsidRPr="00920CB2">
        <w:rPr>
          <w:sz w:val="28"/>
          <w:szCs w:val="28"/>
        </w:rPr>
        <w:t>авоохранения, физической культуры</w:t>
      </w:r>
      <w:r>
        <w:rPr>
          <w:sz w:val="28"/>
          <w:szCs w:val="28"/>
        </w:rPr>
        <w:t>,</w:t>
      </w:r>
      <w:r w:rsidRPr="00920CB2">
        <w:rPr>
          <w:sz w:val="28"/>
          <w:szCs w:val="28"/>
        </w:rPr>
        <w:t xml:space="preserve"> и с</w:t>
      </w:r>
      <w:r w:rsidRPr="00920CB2">
        <w:rPr>
          <w:sz w:val="28"/>
          <w:szCs w:val="28"/>
        </w:rPr>
        <w:t>а</w:t>
      </w:r>
      <w:r w:rsidRPr="00920CB2">
        <w:rPr>
          <w:sz w:val="28"/>
          <w:szCs w:val="28"/>
        </w:rPr>
        <w:t>доводчески</w:t>
      </w:r>
      <w:r>
        <w:rPr>
          <w:sz w:val="28"/>
          <w:szCs w:val="28"/>
        </w:rPr>
        <w:t>х</w:t>
      </w:r>
      <w:r w:rsidRPr="00920CB2">
        <w:rPr>
          <w:sz w:val="28"/>
          <w:szCs w:val="28"/>
        </w:rPr>
        <w:t xml:space="preserve"> и огороднически</w:t>
      </w:r>
      <w:r>
        <w:rPr>
          <w:sz w:val="28"/>
          <w:szCs w:val="28"/>
        </w:rPr>
        <w:t>х</w:t>
      </w:r>
      <w:r w:rsidRPr="00920CB2">
        <w:rPr>
          <w:sz w:val="28"/>
          <w:szCs w:val="28"/>
        </w:rPr>
        <w:t xml:space="preserve"> товариществ.</w:t>
      </w:r>
    </w:p>
    <w:p w:rsidR="005C2FCD" w:rsidRPr="00920CB2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920CB2">
        <w:rPr>
          <w:sz w:val="28"/>
          <w:szCs w:val="28"/>
        </w:rPr>
        <w:t>По упрощенной системе налогообложения продлено действие на 2019 год пониженных налоговых ставок по объекту налогообложения «доходы, уменьшенные на величину расходов».</w:t>
      </w:r>
    </w:p>
    <w:p w:rsidR="005C2FCD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>
        <w:rPr>
          <w:sz w:val="28"/>
          <w:szCs w:val="28"/>
        </w:rPr>
        <w:t>Значительное</w:t>
      </w:r>
      <w:r w:rsidRPr="00920CB2">
        <w:rPr>
          <w:sz w:val="28"/>
          <w:szCs w:val="28"/>
        </w:rPr>
        <w:t xml:space="preserve"> влияние на налоговую политику Республики Татарстан окажут изменения в федеральном законодательстве. </w:t>
      </w:r>
    </w:p>
    <w:p w:rsidR="005C2FCD" w:rsidRPr="00920CB2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3647E2">
        <w:rPr>
          <w:sz w:val="28"/>
          <w:szCs w:val="28"/>
        </w:rPr>
        <w:t>С 2018 года</w:t>
      </w:r>
      <w:r>
        <w:rPr>
          <w:sz w:val="28"/>
          <w:szCs w:val="28"/>
        </w:rPr>
        <w:t xml:space="preserve"> в</w:t>
      </w:r>
      <w:r w:rsidRPr="00920CB2">
        <w:rPr>
          <w:sz w:val="28"/>
          <w:szCs w:val="28"/>
        </w:rPr>
        <w:t xml:space="preserve"> связи с предоставлением </w:t>
      </w:r>
      <w:r>
        <w:rPr>
          <w:sz w:val="28"/>
          <w:szCs w:val="28"/>
        </w:rPr>
        <w:t>отдельным категориям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ских лиц </w:t>
      </w:r>
      <w:r w:rsidRPr="00920CB2">
        <w:rPr>
          <w:sz w:val="28"/>
          <w:szCs w:val="28"/>
        </w:rPr>
        <w:t xml:space="preserve">налогового вычета </w:t>
      </w:r>
      <w:r>
        <w:rPr>
          <w:sz w:val="28"/>
          <w:szCs w:val="28"/>
        </w:rPr>
        <w:t xml:space="preserve">при расчете земельного налога </w:t>
      </w:r>
      <w:r w:rsidRPr="00920CB2">
        <w:rPr>
          <w:sz w:val="28"/>
          <w:szCs w:val="28"/>
        </w:rPr>
        <w:t>на величину к</w:t>
      </w:r>
      <w:r w:rsidRPr="00920CB2">
        <w:rPr>
          <w:sz w:val="28"/>
          <w:szCs w:val="28"/>
        </w:rPr>
        <w:t>а</w:t>
      </w:r>
      <w:r w:rsidRPr="00920CB2">
        <w:rPr>
          <w:sz w:val="28"/>
          <w:szCs w:val="28"/>
        </w:rPr>
        <w:t>дастровой стоимости 600 квадратных метров площади земельного участка, местные бюджеты недополучат платежи по земельному налогу.</w:t>
      </w:r>
    </w:p>
    <w:p w:rsidR="005C2FCD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920CB2">
        <w:rPr>
          <w:sz w:val="28"/>
          <w:szCs w:val="28"/>
        </w:rPr>
        <w:t xml:space="preserve">С 2019 года </w:t>
      </w:r>
      <w:r>
        <w:rPr>
          <w:sz w:val="28"/>
          <w:szCs w:val="28"/>
        </w:rPr>
        <w:t>прекратит свое действие пониженная налоговая ставка</w:t>
      </w:r>
      <w:r w:rsidRPr="00920CB2">
        <w:rPr>
          <w:sz w:val="28"/>
          <w:szCs w:val="28"/>
        </w:rPr>
        <w:t xml:space="preserve"> по налогу на имущество организаций в отношении магистральных трубопров</w:t>
      </w:r>
      <w:r w:rsidRPr="00920CB2">
        <w:rPr>
          <w:sz w:val="28"/>
          <w:szCs w:val="28"/>
        </w:rPr>
        <w:t>о</w:t>
      </w:r>
      <w:r w:rsidRPr="00920CB2">
        <w:rPr>
          <w:sz w:val="28"/>
          <w:szCs w:val="28"/>
        </w:rPr>
        <w:t xml:space="preserve">дов и линий </w:t>
      </w:r>
      <w:proofErr w:type="spellStart"/>
      <w:r w:rsidRPr="00920CB2">
        <w:rPr>
          <w:sz w:val="28"/>
          <w:szCs w:val="28"/>
        </w:rPr>
        <w:t>энергопередачи</w:t>
      </w:r>
      <w:proofErr w:type="spellEnd"/>
      <w:r w:rsidRPr="00920CB2">
        <w:rPr>
          <w:sz w:val="28"/>
          <w:szCs w:val="28"/>
        </w:rPr>
        <w:t>. Налоговые ставки в отношении железнодоро</w:t>
      </w:r>
      <w:r w:rsidRPr="00920CB2">
        <w:rPr>
          <w:sz w:val="28"/>
          <w:szCs w:val="28"/>
        </w:rPr>
        <w:t>ж</w:t>
      </w:r>
      <w:r w:rsidRPr="00920CB2">
        <w:rPr>
          <w:sz w:val="28"/>
          <w:szCs w:val="28"/>
        </w:rPr>
        <w:lastRenderedPageBreak/>
        <w:t xml:space="preserve">ных путей общего пользования и сооружений, являющихся их неотъемлемой технологической частью, в 2019 году составят 1,3 процента, в 2020 году </w:t>
      </w:r>
      <w:r>
        <w:rPr>
          <w:sz w:val="28"/>
          <w:szCs w:val="28"/>
        </w:rPr>
        <w:t>–</w:t>
      </w:r>
      <w:r w:rsidRPr="00920CB2">
        <w:rPr>
          <w:sz w:val="28"/>
          <w:szCs w:val="28"/>
        </w:rPr>
        <w:t xml:space="preserve"> 1,6 процента.</w:t>
      </w:r>
      <w:r>
        <w:rPr>
          <w:sz w:val="28"/>
          <w:szCs w:val="28"/>
        </w:rPr>
        <w:t xml:space="preserve"> </w:t>
      </w:r>
      <w:r w:rsidRPr="003647E2">
        <w:rPr>
          <w:sz w:val="28"/>
          <w:szCs w:val="28"/>
        </w:rPr>
        <w:t>В то же время, в соответствии с Федеральным законом от 03.08.2018 №302-ФЗ «</w:t>
      </w:r>
      <w:r w:rsidRPr="003647E2">
        <w:rPr>
          <w:rFonts w:eastAsiaTheme="minorHAnsi"/>
          <w:lang w:eastAsia="en-US"/>
        </w:rPr>
        <w:t xml:space="preserve">О </w:t>
      </w:r>
      <w:r w:rsidRPr="003647E2">
        <w:rPr>
          <w:rFonts w:eastAsiaTheme="minorHAnsi"/>
          <w:sz w:val="28"/>
          <w:szCs w:val="28"/>
          <w:lang w:eastAsia="en-US"/>
        </w:rPr>
        <w:t>внесении изменений в части первую и вторую Нал</w:t>
      </w:r>
      <w:r w:rsidRPr="003647E2">
        <w:rPr>
          <w:rFonts w:eastAsiaTheme="minorHAnsi"/>
          <w:sz w:val="28"/>
          <w:szCs w:val="28"/>
          <w:lang w:eastAsia="en-US"/>
        </w:rPr>
        <w:t>о</w:t>
      </w:r>
      <w:r w:rsidRPr="003647E2">
        <w:rPr>
          <w:rFonts w:eastAsiaTheme="minorHAnsi"/>
          <w:sz w:val="28"/>
          <w:szCs w:val="28"/>
          <w:lang w:eastAsia="en-US"/>
        </w:rPr>
        <w:t>гового кодекса Российской Федерации</w:t>
      </w:r>
      <w:r w:rsidRPr="003647E2">
        <w:rPr>
          <w:rFonts w:eastAsiaTheme="minorHAnsi"/>
          <w:lang w:eastAsia="en-US"/>
        </w:rPr>
        <w:t xml:space="preserve">» </w:t>
      </w:r>
      <w:r w:rsidRPr="003647E2">
        <w:rPr>
          <w:sz w:val="28"/>
          <w:szCs w:val="28"/>
        </w:rPr>
        <w:t>исключено из налогообложения нал</w:t>
      </w:r>
      <w:r w:rsidRPr="003647E2">
        <w:rPr>
          <w:sz w:val="28"/>
          <w:szCs w:val="28"/>
        </w:rPr>
        <w:t>о</w:t>
      </w:r>
      <w:r w:rsidRPr="003647E2">
        <w:rPr>
          <w:sz w:val="28"/>
          <w:szCs w:val="28"/>
        </w:rPr>
        <w:t>гом на имущество организаций движимое имущество. Указанные изменения окажут значительное негативное влияние на поступления в бюджет респу</w:t>
      </w:r>
      <w:r w:rsidRPr="003647E2">
        <w:rPr>
          <w:sz w:val="28"/>
          <w:szCs w:val="28"/>
        </w:rPr>
        <w:t>б</w:t>
      </w:r>
      <w:r w:rsidRPr="003647E2">
        <w:rPr>
          <w:sz w:val="28"/>
          <w:szCs w:val="28"/>
        </w:rPr>
        <w:t>лики по указанному налогу.</w:t>
      </w:r>
    </w:p>
    <w:p w:rsidR="005C2FCD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FF0994">
        <w:rPr>
          <w:sz w:val="28"/>
          <w:szCs w:val="28"/>
        </w:rPr>
        <w:t xml:space="preserve">Увеличение ставки по налогу на добычу полезных ископаемых на нефть на 428 рублей в 2019 году окажет негативное влияние на поступления по налогу на прибыль. </w:t>
      </w:r>
      <w:proofErr w:type="gramStart"/>
      <w:r w:rsidRPr="00FF0994">
        <w:rPr>
          <w:sz w:val="28"/>
          <w:szCs w:val="28"/>
        </w:rPr>
        <w:t>Кроме того</w:t>
      </w:r>
      <w:r w:rsidRPr="003647E2">
        <w:rPr>
          <w:sz w:val="28"/>
          <w:szCs w:val="28"/>
        </w:rPr>
        <w:t xml:space="preserve">, Федеральным законом от 03.08.2018 </w:t>
      </w:r>
      <w:r>
        <w:rPr>
          <w:sz w:val="28"/>
          <w:szCs w:val="28"/>
        </w:rPr>
        <w:br/>
      </w:r>
      <w:r w:rsidRPr="003647E2">
        <w:rPr>
          <w:sz w:val="28"/>
          <w:szCs w:val="28"/>
        </w:rPr>
        <w:t>№301-ФЗ «О внесении изменений в Налоговый Кодекс Российской Федер</w:t>
      </w:r>
      <w:r w:rsidRPr="003647E2">
        <w:rPr>
          <w:sz w:val="28"/>
          <w:szCs w:val="28"/>
        </w:rPr>
        <w:t>а</w:t>
      </w:r>
      <w:r w:rsidRPr="003647E2">
        <w:rPr>
          <w:sz w:val="28"/>
          <w:szCs w:val="28"/>
        </w:rPr>
        <w:t>ции и признании утратившими силу отдельных</w:t>
      </w:r>
      <w:r w:rsidRPr="00FF0994">
        <w:rPr>
          <w:sz w:val="28"/>
          <w:szCs w:val="28"/>
        </w:rPr>
        <w:t xml:space="preserve"> положений федерального з</w:t>
      </w:r>
      <w:r w:rsidRPr="00FF0994">
        <w:rPr>
          <w:sz w:val="28"/>
          <w:szCs w:val="28"/>
        </w:rPr>
        <w:t>а</w:t>
      </w:r>
      <w:r w:rsidRPr="00FF0994">
        <w:rPr>
          <w:sz w:val="28"/>
          <w:szCs w:val="28"/>
        </w:rPr>
        <w:t>кона «О внесении изменений в часть вторую Налогового Кодекса Российской Федерации и отдельные законодательные акты Российской Федерации» предусматривается продление действия повышенной ставки налога на добычу полезных ископаемых при добыче нефти, установленной на 2019 год, на п</w:t>
      </w:r>
      <w:r w:rsidRPr="00FF0994">
        <w:rPr>
          <w:sz w:val="28"/>
          <w:szCs w:val="28"/>
        </w:rPr>
        <w:t>е</w:t>
      </w:r>
      <w:r w:rsidRPr="00FF0994">
        <w:rPr>
          <w:sz w:val="28"/>
          <w:szCs w:val="28"/>
        </w:rPr>
        <w:t>риод по 31</w:t>
      </w:r>
      <w:proofErr w:type="gramEnd"/>
      <w:r w:rsidRPr="00FF0994">
        <w:rPr>
          <w:sz w:val="28"/>
          <w:szCs w:val="28"/>
        </w:rPr>
        <w:t xml:space="preserve"> декабря 2021 года.</w:t>
      </w:r>
    </w:p>
    <w:p w:rsidR="005C2FCD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proofErr w:type="gramStart"/>
      <w:r w:rsidRPr="003647E2">
        <w:rPr>
          <w:sz w:val="28"/>
          <w:szCs w:val="28"/>
        </w:rPr>
        <w:t>Приняты федеральные законы №301-ФЗ от 03.08.2018г. «О внесении и</w:t>
      </w:r>
      <w:r w:rsidRPr="003647E2">
        <w:rPr>
          <w:sz w:val="28"/>
          <w:szCs w:val="28"/>
        </w:rPr>
        <w:t>з</w:t>
      </w:r>
      <w:r w:rsidRPr="003647E2">
        <w:rPr>
          <w:sz w:val="28"/>
          <w:szCs w:val="28"/>
        </w:rPr>
        <w:t>менений в Налоговый Кодекс Российской Федерации и признании утрати</w:t>
      </w:r>
      <w:r w:rsidRPr="003647E2">
        <w:rPr>
          <w:sz w:val="28"/>
          <w:szCs w:val="28"/>
        </w:rPr>
        <w:t>в</w:t>
      </w:r>
      <w:r w:rsidRPr="003647E2">
        <w:rPr>
          <w:sz w:val="28"/>
          <w:szCs w:val="28"/>
        </w:rPr>
        <w:t>шими силу отдельных положений федерального закона «О внесении измен</w:t>
      </w:r>
      <w:r w:rsidRPr="003647E2">
        <w:rPr>
          <w:sz w:val="28"/>
          <w:szCs w:val="28"/>
        </w:rPr>
        <w:t>е</w:t>
      </w:r>
      <w:r w:rsidRPr="003647E2">
        <w:rPr>
          <w:sz w:val="28"/>
          <w:szCs w:val="28"/>
        </w:rPr>
        <w:t>ний в часть вторую Налогового Кодекса Российской Федерации и отдельные законодательные акты Российской Федерации», №305-ФЗ от 03.08.2018г. «О внесении изменений в статьи 3.1 и 35 З</w:t>
      </w:r>
      <w:r>
        <w:rPr>
          <w:sz w:val="28"/>
          <w:szCs w:val="28"/>
        </w:rPr>
        <w:t>акона Российской Федерации «</w:t>
      </w:r>
      <w:r w:rsidRPr="003647E2">
        <w:rPr>
          <w:sz w:val="28"/>
          <w:szCs w:val="28"/>
        </w:rPr>
        <w:t>О т</w:t>
      </w:r>
      <w:r w:rsidRPr="003647E2">
        <w:rPr>
          <w:sz w:val="28"/>
          <w:szCs w:val="28"/>
        </w:rPr>
        <w:t>а</w:t>
      </w:r>
      <w:r w:rsidRPr="003647E2">
        <w:rPr>
          <w:sz w:val="28"/>
          <w:szCs w:val="28"/>
        </w:rPr>
        <w:t>моженном тарифе» под общим названием</w:t>
      </w:r>
      <w:proofErr w:type="gramEnd"/>
      <w:r w:rsidRPr="003647E2">
        <w:rPr>
          <w:sz w:val="28"/>
          <w:szCs w:val="28"/>
        </w:rPr>
        <w:t xml:space="preserve"> «Завершение нефтяного налогового маневра». </w:t>
      </w:r>
      <w:r>
        <w:rPr>
          <w:sz w:val="28"/>
          <w:szCs w:val="28"/>
        </w:rPr>
        <w:t>В рамках изменения законодательства у части компаний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 могут возникнуть потери, которые могут негативно сказаться на доходной части бюджета республики.</w:t>
      </w:r>
    </w:p>
    <w:p w:rsidR="005C2FCD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FF0994">
        <w:rPr>
          <w:sz w:val="28"/>
          <w:szCs w:val="28"/>
        </w:rPr>
        <w:t xml:space="preserve">В части акцизов планируется поэтапное увеличение доли распределения акцизов на крепкий алкоголь между субъектами Российской Федерации через единый счет Российской Федерации пропорционально объемам розничных продаж (с 25% в 2018 году до 30% в 2019 году, в 2020 году – до 35%, в 2021 году – </w:t>
      </w:r>
      <w:proofErr w:type="gramStart"/>
      <w:r w:rsidRPr="00FF0994">
        <w:rPr>
          <w:sz w:val="28"/>
          <w:szCs w:val="28"/>
        </w:rPr>
        <w:t>до</w:t>
      </w:r>
      <w:proofErr w:type="gramEnd"/>
      <w:r w:rsidRPr="00FF0994">
        <w:rPr>
          <w:sz w:val="28"/>
          <w:szCs w:val="28"/>
        </w:rPr>
        <w:t xml:space="preserve"> 40%). Потери бюджета Республики Татарстан по сравнению с де</w:t>
      </w:r>
      <w:r w:rsidRPr="00FF0994">
        <w:rPr>
          <w:sz w:val="28"/>
          <w:szCs w:val="28"/>
        </w:rPr>
        <w:t>й</w:t>
      </w:r>
      <w:r w:rsidRPr="00FF0994">
        <w:rPr>
          <w:sz w:val="28"/>
          <w:szCs w:val="28"/>
        </w:rPr>
        <w:t xml:space="preserve">ствующими в 2018 году условиями могут составить соответственно: </w:t>
      </w:r>
      <w:r w:rsidRPr="00FF0994">
        <w:rPr>
          <w:sz w:val="28"/>
          <w:szCs w:val="28"/>
        </w:rPr>
        <w:br/>
        <w:t xml:space="preserve">в 2019 году – </w:t>
      </w:r>
      <w:r>
        <w:rPr>
          <w:sz w:val="28"/>
          <w:szCs w:val="28"/>
        </w:rPr>
        <w:t>1 077</w:t>
      </w:r>
      <w:r w:rsidRPr="00FF0994">
        <w:rPr>
          <w:sz w:val="28"/>
          <w:szCs w:val="28"/>
        </w:rPr>
        <w:t xml:space="preserve"> млн. рублей, в 2020 году – 2 </w:t>
      </w:r>
      <w:r>
        <w:rPr>
          <w:sz w:val="28"/>
          <w:szCs w:val="28"/>
        </w:rPr>
        <w:t>642</w:t>
      </w:r>
      <w:r w:rsidRPr="00FF0994">
        <w:rPr>
          <w:sz w:val="28"/>
          <w:szCs w:val="28"/>
        </w:rPr>
        <w:t xml:space="preserve"> млн. рублей, в 2021 году – 4 </w:t>
      </w:r>
      <w:r>
        <w:rPr>
          <w:sz w:val="28"/>
          <w:szCs w:val="28"/>
        </w:rPr>
        <w:t>244</w:t>
      </w:r>
      <w:r w:rsidRPr="00FF0994">
        <w:rPr>
          <w:sz w:val="28"/>
          <w:szCs w:val="28"/>
        </w:rPr>
        <w:t xml:space="preserve"> млн. рублей.</w:t>
      </w:r>
    </w:p>
    <w:p w:rsidR="005C2FCD" w:rsidRPr="00880221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53092">
        <w:rPr>
          <w:sz w:val="28"/>
          <w:szCs w:val="28"/>
        </w:rPr>
        <w:t>В соответствии с федеральным законодательством увеличен размер го</w:t>
      </w:r>
      <w:r w:rsidRPr="00553092">
        <w:rPr>
          <w:sz w:val="28"/>
          <w:szCs w:val="28"/>
        </w:rPr>
        <w:t>с</w:t>
      </w:r>
      <w:r w:rsidRPr="00553092">
        <w:rPr>
          <w:sz w:val="28"/>
          <w:szCs w:val="28"/>
        </w:rPr>
        <w:t>пошлины за выдачу загранпаспорта, содержащего электронный носитель и</w:t>
      </w:r>
      <w:r w:rsidRPr="00553092">
        <w:rPr>
          <w:sz w:val="28"/>
          <w:szCs w:val="28"/>
        </w:rPr>
        <w:t>н</w:t>
      </w:r>
      <w:r w:rsidRPr="00553092">
        <w:rPr>
          <w:sz w:val="28"/>
          <w:szCs w:val="28"/>
        </w:rPr>
        <w:t>формации (паспорта нового</w:t>
      </w:r>
      <w:r>
        <w:rPr>
          <w:sz w:val="28"/>
          <w:szCs w:val="28"/>
        </w:rPr>
        <w:t xml:space="preserve"> поколения), с 3500 до 5000 рублей</w:t>
      </w:r>
      <w:r w:rsidRPr="00553092">
        <w:rPr>
          <w:sz w:val="28"/>
          <w:szCs w:val="28"/>
        </w:rPr>
        <w:t xml:space="preserve"> и загранпа</w:t>
      </w:r>
      <w:r w:rsidRPr="00553092">
        <w:rPr>
          <w:sz w:val="28"/>
          <w:szCs w:val="28"/>
        </w:rPr>
        <w:t>с</w:t>
      </w:r>
      <w:r w:rsidRPr="00553092">
        <w:rPr>
          <w:sz w:val="28"/>
          <w:szCs w:val="28"/>
        </w:rPr>
        <w:lastRenderedPageBreak/>
        <w:t xml:space="preserve">порта гражданину </w:t>
      </w:r>
      <w:r>
        <w:rPr>
          <w:sz w:val="28"/>
          <w:szCs w:val="28"/>
        </w:rPr>
        <w:t xml:space="preserve">Российской Федерации </w:t>
      </w:r>
      <w:r w:rsidRPr="00553092">
        <w:rPr>
          <w:sz w:val="28"/>
          <w:szCs w:val="28"/>
        </w:rPr>
        <w:t>в возрасте до 14 лет с 1500 до 2500 руб</w:t>
      </w:r>
      <w:r>
        <w:rPr>
          <w:sz w:val="28"/>
          <w:szCs w:val="28"/>
        </w:rPr>
        <w:t>лей.</w:t>
      </w:r>
      <w:r w:rsidRPr="00553092">
        <w:rPr>
          <w:sz w:val="28"/>
          <w:szCs w:val="28"/>
        </w:rPr>
        <w:t xml:space="preserve"> </w:t>
      </w:r>
      <w:proofErr w:type="gramStart"/>
      <w:r w:rsidRPr="00553092">
        <w:rPr>
          <w:sz w:val="28"/>
          <w:szCs w:val="28"/>
        </w:rPr>
        <w:t>Кроме того, установлен размер госпошлины за гос</w:t>
      </w:r>
      <w:r>
        <w:rPr>
          <w:sz w:val="28"/>
          <w:szCs w:val="28"/>
        </w:rPr>
        <w:t xml:space="preserve">ударственную </w:t>
      </w:r>
      <w:r w:rsidRPr="00553092">
        <w:rPr>
          <w:sz w:val="28"/>
          <w:szCs w:val="28"/>
        </w:rPr>
        <w:t>р</w:t>
      </w:r>
      <w:r w:rsidRPr="00553092">
        <w:rPr>
          <w:sz w:val="28"/>
          <w:szCs w:val="28"/>
        </w:rPr>
        <w:t>е</w:t>
      </w:r>
      <w:r w:rsidRPr="00553092">
        <w:rPr>
          <w:sz w:val="28"/>
          <w:szCs w:val="28"/>
        </w:rPr>
        <w:t>гистрацию транспортных средств и совершение иных регистрационных де</w:t>
      </w:r>
      <w:r w:rsidRPr="00553092">
        <w:rPr>
          <w:sz w:val="28"/>
          <w:szCs w:val="28"/>
        </w:rPr>
        <w:t>й</w:t>
      </w:r>
      <w:r w:rsidRPr="00553092">
        <w:rPr>
          <w:sz w:val="28"/>
          <w:szCs w:val="28"/>
        </w:rPr>
        <w:t>ствий, связанных с выдачей свидетельства о регистрации транспортного средства, в том числе взамен утраченного или пришедшего в негодность, и</w:t>
      </w:r>
      <w:r w:rsidRPr="00553092">
        <w:rPr>
          <w:sz w:val="28"/>
          <w:szCs w:val="28"/>
        </w:rPr>
        <w:t>з</w:t>
      </w:r>
      <w:r w:rsidRPr="00553092">
        <w:rPr>
          <w:sz w:val="28"/>
          <w:szCs w:val="28"/>
        </w:rPr>
        <w:t>готавливаемого из расходных материалов на пластиковой основе нового п</w:t>
      </w:r>
      <w:r w:rsidRPr="00553092">
        <w:rPr>
          <w:sz w:val="28"/>
          <w:szCs w:val="28"/>
        </w:rPr>
        <w:t>о</w:t>
      </w:r>
      <w:r w:rsidRPr="00553092">
        <w:rPr>
          <w:sz w:val="28"/>
          <w:szCs w:val="28"/>
        </w:rPr>
        <w:t xml:space="preserve">коления </w:t>
      </w:r>
      <w:r>
        <w:rPr>
          <w:sz w:val="28"/>
          <w:szCs w:val="28"/>
        </w:rPr>
        <w:t>–</w:t>
      </w:r>
      <w:r w:rsidRPr="00553092">
        <w:rPr>
          <w:sz w:val="28"/>
          <w:szCs w:val="28"/>
        </w:rPr>
        <w:t xml:space="preserve"> 1</w:t>
      </w:r>
      <w:r>
        <w:rPr>
          <w:sz w:val="28"/>
          <w:szCs w:val="28"/>
        </w:rPr>
        <w:t>500 рублей</w:t>
      </w:r>
      <w:r w:rsidRPr="00553092">
        <w:rPr>
          <w:sz w:val="28"/>
          <w:szCs w:val="28"/>
        </w:rPr>
        <w:t>, и за выдачу национального водительского удостов</w:t>
      </w:r>
      <w:r w:rsidRPr="00553092">
        <w:rPr>
          <w:sz w:val="28"/>
          <w:szCs w:val="28"/>
        </w:rPr>
        <w:t>е</w:t>
      </w:r>
      <w:r w:rsidRPr="00553092">
        <w:rPr>
          <w:sz w:val="28"/>
          <w:szCs w:val="28"/>
        </w:rPr>
        <w:t>рения, в том числе взамен утраченного или пришедшего в негодность, изг</w:t>
      </w:r>
      <w:r w:rsidRPr="00553092">
        <w:rPr>
          <w:sz w:val="28"/>
          <w:szCs w:val="28"/>
        </w:rPr>
        <w:t>о</w:t>
      </w:r>
      <w:r w:rsidRPr="00553092">
        <w:rPr>
          <w:sz w:val="28"/>
          <w:szCs w:val="28"/>
        </w:rPr>
        <w:t>тавливаемого из</w:t>
      </w:r>
      <w:proofErr w:type="gramEnd"/>
      <w:r w:rsidRPr="00553092">
        <w:rPr>
          <w:sz w:val="28"/>
          <w:szCs w:val="28"/>
        </w:rPr>
        <w:t xml:space="preserve"> расходных материалов на пластиковой основе нового пок</w:t>
      </w:r>
      <w:r w:rsidRPr="00553092">
        <w:rPr>
          <w:sz w:val="28"/>
          <w:szCs w:val="28"/>
        </w:rPr>
        <w:t>о</w:t>
      </w:r>
      <w:r w:rsidRPr="00553092">
        <w:rPr>
          <w:sz w:val="28"/>
          <w:szCs w:val="28"/>
        </w:rPr>
        <w:t xml:space="preserve">ления </w:t>
      </w:r>
      <w:r>
        <w:rPr>
          <w:sz w:val="28"/>
          <w:szCs w:val="28"/>
        </w:rPr>
        <w:t>–</w:t>
      </w:r>
      <w:r w:rsidRPr="00553092">
        <w:rPr>
          <w:sz w:val="28"/>
          <w:szCs w:val="28"/>
        </w:rPr>
        <w:t xml:space="preserve"> 3000</w:t>
      </w:r>
      <w:r>
        <w:rPr>
          <w:sz w:val="28"/>
          <w:szCs w:val="28"/>
        </w:rPr>
        <w:t xml:space="preserve"> </w:t>
      </w:r>
      <w:r w:rsidRPr="00553092">
        <w:rPr>
          <w:sz w:val="28"/>
          <w:szCs w:val="28"/>
        </w:rPr>
        <w:t>руб. Данн</w:t>
      </w:r>
      <w:r>
        <w:rPr>
          <w:sz w:val="28"/>
          <w:szCs w:val="28"/>
        </w:rPr>
        <w:t>ы</w:t>
      </w:r>
      <w:r w:rsidRPr="00553092">
        <w:rPr>
          <w:sz w:val="28"/>
          <w:szCs w:val="28"/>
        </w:rPr>
        <w:t>е изменения приведут к увеличению поступлений</w:t>
      </w:r>
      <w:r>
        <w:rPr>
          <w:sz w:val="28"/>
          <w:szCs w:val="28"/>
        </w:rPr>
        <w:t xml:space="preserve"> в</w:t>
      </w:r>
      <w:r w:rsidRPr="00553092">
        <w:rPr>
          <w:sz w:val="28"/>
          <w:szCs w:val="28"/>
        </w:rPr>
        <w:t xml:space="preserve"> бюджет Республики </w:t>
      </w:r>
      <w:r w:rsidRPr="00880221">
        <w:rPr>
          <w:sz w:val="28"/>
          <w:szCs w:val="28"/>
        </w:rPr>
        <w:t>Татарстан.</w:t>
      </w:r>
    </w:p>
    <w:p w:rsidR="005C2FCD" w:rsidRPr="005267D7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3647E2">
        <w:rPr>
          <w:sz w:val="28"/>
          <w:szCs w:val="28"/>
        </w:rPr>
        <w:t>Федеральным законом от 03.08.2018 года №303-ФЗ</w:t>
      </w:r>
      <w:r w:rsidRPr="003647E2">
        <w:rPr>
          <w:rFonts w:eastAsiaTheme="minorHAnsi"/>
          <w:lang w:eastAsia="en-US"/>
        </w:rPr>
        <w:t xml:space="preserve"> «О </w:t>
      </w:r>
      <w:r w:rsidRPr="003647E2">
        <w:rPr>
          <w:rFonts w:eastAsiaTheme="minorHAnsi"/>
          <w:sz w:val="28"/>
          <w:szCs w:val="28"/>
          <w:lang w:eastAsia="en-US"/>
        </w:rPr>
        <w:t>внесении измен</w:t>
      </w:r>
      <w:r w:rsidRPr="003647E2">
        <w:rPr>
          <w:rFonts w:eastAsiaTheme="minorHAnsi"/>
          <w:sz w:val="28"/>
          <w:szCs w:val="28"/>
          <w:lang w:eastAsia="en-US"/>
        </w:rPr>
        <w:t>е</w:t>
      </w:r>
      <w:r w:rsidRPr="003647E2">
        <w:rPr>
          <w:rFonts w:eastAsiaTheme="minorHAnsi"/>
          <w:sz w:val="28"/>
          <w:szCs w:val="28"/>
          <w:lang w:eastAsia="en-US"/>
        </w:rPr>
        <w:t>ний в отдельные законодательные акты Российской Федерации о налогах и сборах</w:t>
      </w:r>
      <w:r w:rsidRPr="003647E2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B85862">
        <w:rPr>
          <w:sz w:val="28"/>
          <w:szCs w:val="28"/>
        </w:rPr>
        <w:t>предусм</w:t>
      </w:r>
      <w:r>
        <w:rPr>
          <w:sz w:val="28"/>
          <w:szCs w:val="28"/>
        </w:rPr>
        <w:t>отрено</w:t>
      </w:r>
      <w:r w:rsidRPr="00B85862">
        <w:rPr>
          <w:sz w:val="28"/>
          <w:szCs w:val="28"/>
        </w:rPr>
        <w:t xml:space="preserve"> повышение ставки по налогу на добавленную сто</w:t>
      </w:r>
      <w:r w:rsidRPr="00B85862">
        <w:rPr>
          <w:sz w:val="28"/>
          <w:szCs w:val="28"/>
        </w:rPr>
        <w:t>и</w:t>
      </w:r>
      <w:r w:rsidRPr="00B85862">
        <w:rPr>
          <w:sz w:val="28"/>
          <w:szCs w:val="28"/>
        </w:rPr>
        <w:t>мость до 20</w:t>
      </w:r>
      <w:r>
        <w:rPr>
          <w:sz w:val="28"/>
          <w:szCs w:val="28"/>
        </w:rPr>
        <w:t xml:space="preserve"> процентов</w:t>
      </w:r>
      <w:r w:rsidRPr="00B85862">
        <w:rPr>
          <w:sz w:val="28"/>
          <w:szCs w:val="28"/>
        </w:rPr>
        <w:t xml:space="preserve">. При этом льготное налогообложение </w:t>
      </w:r>
      <w:r>
        <w:rPr>
          <w:sz w:val="28"/>
          <w:szCs w:val="28"/>
        </w:rPr>
        <w:t xml:space="preserve">(по ставке 10% и 0%) </w:t>
      </w:r>
      <w:r w:rsidRPr="00B85862">
        <w:rPr>
          <w:sz w:val="28"/>
          <w:szCs w:val="28"/>
        </w:rPr>
        <w:t xml:space="preserve">для социально-значимых товаров и услуг (основные продукты питания, медикаменты, товары для детей и др.) </w:t>
      </w:r>
      <w:r w:rsidRPr="003647E2">
        <w:rPr>
          <w:sz w:val="28"/>
          <w:szCs w:val="28"/>
        </w:rPr>
        <w:t>сохранено.</w:t>
      </w:r>
      <w:r>
        <w:rPr>
          <w:sz w:val="28"/>
          <w:szCs w:val="28"/>
        </w:rPr>
        <w:t xml:space="preserve"> </w:t>
      </w:r>
      <w:r w:rsidRPr="00B85862">
        <w:rPr>
          <w:sz w:val="28"/>
          <w:szCs w:val="28"/>
        </w:rPr>
        <w:t>Повышение ставки по нал</w:t>
      </w:r>
      <w:r w:rsidRPr="00B85862">
        <w:rPr>
          <w:sz w:val="28"/>
          <w:szCs w:val="28"/>
        </w:rPr>
        <w:t>о</w:t>
      </w:r>
      <w:r w:rsidRPr="00B85862">
        <w:rPr>
          <w:sz w:val="28"/>
          <w:szCs w:val="28"/>
        </w:rPr>
        <w:t xml:space="preserve">гу на добавленную стоимость </w:t>
      </w:r>
      <w:r>
        <w:rPr>
          <w:sz w:val="28"/>
          <w:szCs w:val="28"/>
        </w:rPr>
        <w:t>приведет к</w:t>
      </w:r>
      <w:r w:rsidRPr="00B85862">
        <w:rPr>
          <w:sz w:val="28"/>
          <w:szCs w:val="28"/>
        </w:rPr>
        <w:t xml:space="preserve"> увелич</w:t>
      </w:r>
      <w:r>
        <w:rPr>
          <w:sz w:val="28"/>
          <w:szCs w:val="28"/>
        </w:rPr>
        <w:t>ению</w:t>
      </w:r>
      <w:r w:rsidRPr="00B85862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ов</w:t>
      </w:r>
      <w:r w:rsidRPr="00B85862">
        <w:rPr>
          <w:sz w:val="28"/>
          <w:szCs w:val="28"/>
        </w:rPr>
        <w:t xml:space="preserve"> бюджетов всех уровней.</w:t>
      </w:r>
    </w:p>
    <w:p w:rsidR="005C2FCD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5C2FCD" w:rsidRPr="00CF0403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CF0403">
        <w:rPr>
          <w:sz w:val="28"/>
          <w:szCs w:val="28"/>
        </w:rPr>
        <w:t>Формирование проекта бюджета Республики Татарстан на 2019 год и на плановый период 2020 – 2021 годов происходит в условиях укрепления п</w:t>
      </w:r>
      <w:r w:rsidRPr="00CF0403">
        <w:rPr>
          <w:sz w:val="28"/>
          <w:szCs w:val="28"/>
        </w:rPr>
        <w:t>о</w:t>
      </w:r>
      <w:r w:rsidRPr="00CF0403">
        <w:rPr>
          <w:sz w:val="28"/>
          <w:szCs w:val="28"/>
        </w:rPr>
        <w:t>ложительной динамики траектории социально-экономического развития, но в то же время при сохранении ожиданий, не позволяющих рассчитывать на резкое увеличение темпов экономического роста. При этом сохраняется нео</w:t>
      </w:r>
      <w:r w:rsidRPr="00CF0403">
        <w:rPr>
          <w:sz w:val="28"/>
          <w:szCs w:val="28"/>
        </w:rPr>
        <w:t>б</w:t>
      </w:r>
      <w:r w:rsidRPr="00CF0403">
        <w:rPr>
          <w:sz w:val="28"/>
          <w:szCs w:val="28"/>
        </w:rPr>
        <w:t>ходимость решения вопросов, связанных с проводимой политикой республ</w:t>
      </w:r>
      <w:r w:rsidRPr="00CF0403">
        <w:rPr>
          <w:sz w:val="28"/>
          <w:szCs w:val="28"/>
        </w:rPr>
        <w:t>и</w:t>
      </w:r>
      <w:r w:rsidRPr="00CF0403">
        <w:rPr>
          <w:sz w:val="28"/>
          <w:szCs w:val="28"/>
        </w:rPr>
        <w:t>ки в социально-культурной сфере, в том числе оказание социальной поддер</w:t>
      </w:r>
      <w:r w:rsidRPr="00CF0403">
        <w:rPr>
          <w:sz w:val="28"/>
          <w:szCs w:val="28"/>
        </w:rPr>
        <w:t>ж</w:t>
      </w:r>
      <w:r w:rsidRPr="00CF0403">
        <w:rPr>
          <w:sz w:val="28"/>
          <w:szCs w:val="28"/>
        </w:rPr>
        <w:t>ки населения с низким уровнем доходов. Кроме того, возникают новые обяз</w:t>
      </w:r>
      <w:r w:rsidRPr="00CF0403">
        <w:rPr>
          <w:sz w:val="28"/>
          <w:szCs w:val="28"/>
        </w:rPr>
        <w:t>а</w:t>
      </w:r>
      <w:r w:rsidRPr="00CF0403">
        <w:rPr>
          <w:sz w:val="28"/>
          <w:szCs w:val="28"/>
        </w:rPr>
        <w:t>тельства, связанные с началом реализации мероприятий и проектов, напра</w:t>
      </w:r>
      <w:r w:rsidRPr="00CF0403">
        <w:rPr>
          <w:sz w:val="28"/>
          <w:szCs w:val="28"/>
        </w:rPr>
        <w:t>в</w:t>
      </w:r>
      <w:r w:rsidRPr="00CF0403">
        <w:rPr>
          <w:sz w:val="28"/>
          <w:szCs w:val="28"/>
        </w:rPr>
        <w:t>ленных на достижение целей и выполнение задач, поставленных Указом Пр</w:t>
      </w:r>
      <w:r w:rsidRPr="00CF0403">
        <w:rPr>
          <w:sz w:val="28"/>
          <w:szCs w:val="28"/>
        </w:rPr>
        <w:t>е</w:t>
      </w:r>
      <w:r w:rsidRPr="00CF0403">
        <w:rPr>
          <w:sz w:val="28"/>
          <w:szCs w:val="28"/>
        </w:rPr>
        <w:t>зидента Российской Федерации от 7 мая 2018 года № 204 «О национальных целях и стратегических задачах развития Российской Федерации на период до 2024 года». Все это обусловливает необходимость продолжения решения фундаментальной задачи в сфере бюджетной политики Республики Татарстан на предстоящий трехлетний период 2019 – 2021 годов – обеспечения долг</w:t>
      </w:r>
      <w:r w:rsidRPr="00CF0403">
        <w:rPr>
          <w:sz w:val="28"/>
          <w:szCs w:val="28"/>
        </w:rPr>
        <w:t>о</w:t>
      </w:r>
      <w:r w:rsidRPr="00CF0403">
        <w:rPr>
          <w:sz w:val="28"/>
          <w:szCs w:val="28"/>
        </w:rPr>
        <w:t>срочной сбалансированности и устойчивости бюджетной системы как базов</w:t>
      </w:r>
      <w:r w:rsidRPr="00CF0403">
        <w:rPr>
          <w:sz w:val="28"/>
          <w:szCs w:val="28"/>
        </w:rPr>
        <w:t>о</w:t>
      </w:r>
      <w:r w:rsidRPr="00CF0403">
        <w:rPr>
          <w:sz w:val="28"/>
          <w:szCs w:val="28"/>
        </w:rPr>
        <w:t>го принципа ответственной и эффективной бюджетной политики.</w:t>
      </w:r>
    </w:p>
    <w:p w:rsidR="005C2FCD" w:rsidRPr="00CF0403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CF0403">
        <w:rPr>
          <w:sz w:val="28"/>
          <w:szCs w:val="28"/>
        </w:rPr>
        <w:t>Необходимо учитывать сохраняющуюся зависимость бюджета Респу</w:t>
      </w:r>
      <w:r w:rsidRPr="00CF0403">
        <w:rPr>
          <w:sz w:val="28"/>
          <w:szCs w:val="28"/>
        </w:rPr>
        <w:t>б</w:t>
      </w:r>
      <w:r w:rsidRPr="00CF0403">
        <w:rPr>
          <w:sz w:val="28"/>
          <w:szCs w:val="28"/>
        </w:rPr>
        <w:t>лики Татарстан от доходов нефтяной отрасли, в частности наличие риска ре</w:t>
      </w:r>
      <w:r w:rsidRPr="00CF0403">
        <w:rPr>
          <w:sz w:val="28"/>
          <w:szCs w:val="28"/>
        </w:rPr>
        <w:t>з</w:t>
      </w:r>
      <w:r w:rsidRPr="00CF0403">
        <w:rPr>
          <w:sz w:val="28"/>
          <w:szCs w:val="28"/>
        </w:rPr>
        <w:lastRenderedPageBreak/>
        <w:t xml:space="preserve">кого негативного изменения цен на мировых сырьевых рынках. Также </w:t>
      </w:r>
      <w:r>
        <w:rPr>
          <w:sz w:val="28"/>
          <w:szCs w:val="28"/>
        </w:rPr>
        <w:t>сохр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няются</w:t>
      </w:r>
      <w:r w:rsidRPr="00CF0403">
        <w:rPr>
          <w:sz w:val="28"/>
          <w:szCs w:val="28"/>
        </w:rPr>
        <w:t xml:space="preserve"> риски, связанные с </w:t>
      </w:r>
      <w:r>
        <w:rPr>
          <w:sz w:val="28"/>
          <w:szCs w:val="28"/>
        </w:rPr>
        <w:t>негативным влиянием внешнеполитической сит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ации и различными принимаемыми в отношении отечественной экономики ограничительными мерами, в частности, внешнеторгового и финансово-инвестиционного характера</w:t>
      </w:r>
      <w:r w:rsidRPr="00CF0403">
        <w:rPr>
          <w:sz w:val="28"/>
          <w:szCs w:val="28"/>
        </w:rPr>
        <w:t>. С учетом этого, необходимо продолжать с ост</w:t>
      </w:r>
      <w:r w:rsidRPr="00CF0403">
        <w:rPr>
          <w:sz w:val="28"/>
          <w:szCs w:val="28"/>
        </w:rPr>
        <w:t>о</w:t>
      </w:r>
      <w:r w:rsidRPr="00CF0403">
        <w:rPr>
          <w:sz w:val="28"/>
          <w:szCs w:val="28"/>
        </w:rPr>
        <w:t>рожностью подходить к формированию доходной части бюджета и приде</w:t>
      </w:r>
      <w:r w:rsidRPr="00CF0403">
        <w:rPr>
          <w:sz w:val="28"/>
          <w:szCs w:val="28"/>
        </w:rPr>
        <w:t>р</w:t>
      </w:r>
      <w:r w:rsidRPr="00CF0403">
        <w:rPr>
          <w:sz w:val="28"/>
          <w:szCs w:val="28"/>
        </w:rPr>
        <w:t>живаться соответствующей сдержанной политики при планировании расхо</w:t>
      </w:r>
      <w:r w:rsidRPr="00CF0403">
        <w:rPr>
          <w:sz w:val="28"/>
          <w:szCs w:val="28"/>
        </w:rPr>
        <w:t>д</w:t>
      </w:r>
      <w:r w:rsidRPr="00CF0403">
        <w:rPr>
          <w:sz w:val="28"/>
          <w:szCs w:val="28"/>
        </w:rPr>
        <w:t>ной части бюджета.</w:t>
      </w:r>
    </w:p>
    <w:p w:rsidR="005C2FCD" w:rsidRPr="00CF0403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CF0403">
        <w:rPr>
          <w:sz w:val="28"/>
          <w:szCs w:val="28"/>
        </w:rPr>
        <w:t>В целях минимизации рисков несбалансированности консолидирова</w:t>
      </w:r>
      <w:r w:rsidRPr="00CF0403">
        <w:rPr>
          <w:sz w:val="28"/>
          <w:szCs w:val="28"/>
        </w:rPr>
        <w:t>н</w:t>
      </w:r>
      <w:r w:rsidRPr="00CF0403">
        <w:rPr>
          <w:sz w:val="28"/>
          <w:szCs w:val="28"/>
        </w:rPr>
        <w:t xml:space="preserve">ный бюджет Республики Татарстан на 2019 – 2021 годы </w:t>
      </w:r>
      <w:r>
        <w:rPr>
          <w:sz w:val="28"/>
          <w:szCs w:val="28"/>
        </w:rPr>
        <w:t>предлагается трад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ционно </w:t>
      </w:r>
      <w:r w:rsidRPr="00CF0403">
        <w:rPr>
          <w:sz w:val="28"/>
          <w:szCs w:val="28"/>
        </w:rPr>
        <w:t>формир</w:t>
      </w:r>
      <w:r>
        <w:rPr>
          <w:sz w:val="28"/>
          <w:szCs w:val="28"/>
        </w:rPr>
        <w:t>овать</w:t>
      </w:r>
      <w:r w:rsidRPr="00CF0403">
        <w:rPr>
          <w:sz w:val="28"/>
          <w:szCs w:val="28"/>
        </w:rPr>
        <w:t xml:space="preserve"> на основе </w:t>
      </w:r>
      <w:proofErr w:type="gramStart"/>
      <w:r w:rsidRPr="00CF0403">
        <w:rPr>
          <w:sz w:val="28"/>
          <w:szCs w:val="28"/>
        </w:rPr>
        <w:t>использования сценарных условий прогноза социально-экономического развития Российской Федерации</w:t>
      </w:r>
      <w:proofErr w:type="gramEnd"/>
      <w:r w:rsidRPr="00CF0403">
        <w:rPr>
          <w:sz w:val="28"/>
          <w:szCs w:val="28"/>
        </w:rPr>
        <w:t xml:space="preserve"> на период 2019 – 2024 годов по базовому варианту. Данный подход представляется наиболее целесообразным, в первую очередь, при формировании прогноза доходной части бюджета. В связи с этим сохраняется </w:t>
      </w:r>
      <w:proofErr w:type="gramStart"/>
      <w:r w:rsidRPr="00CF0403">
        <w:rPr>
          <w:sz w:val="28"/>
          <w:szCs w:val="28"/>
        </w:rPr>
        <w:t>актуальность</w:t>
      </w:r>
      <w:proofErr w:type="gramEnd"/>
      <w:r w:rsidRPr="00CF0403">
        <w:rPr>
          <w:sz w:val="28"/>
          <w:szCs w:val="28"/>
        </w:rPr>
        <w:t xml:space="preserve"> и важность продо</w:t>
      </w:r>
      <w:r w:rsidRPr="00CF0403">
        <w:rPr>
          <w:sz w:val="28"/>
          <w:szCs w:val="28"/>
        </w:rPr>
        <w:t>л</w:t>
      </w:r>
      <w:r w:rsidRPr="00CF0403">
        <w:rPr>
          <w:sz w:val="28"/>
          <w:szCs w:val="28"/>
        </w:rPr>
        <w:t>жения последовательной реализации указанных выше мер налоговой полит</w:t>
      </w:r>
      <w:r w:rsidRPr="00CF0403">
        <w:rPr>
          <w:sz w:val="28"/>
          <w:szCs w:val="28"/>
        </w:rPr>
        <w:t>и</w:t>
      </w:r>
      <w:r w:rsidRPr="00CF0403">
        <w:rPr>
          <w:sz w:val="28"/>
          <w:szCs w:val="28"/>
        </w:rPr>
        <w:t>ки по наращиванию доходной базы всех уровней бюджетов, в том числе пр</w:t>
      </w:r>
      <w:r w:rsidRPr="00CF0403">
        <w:rPr>
          <w:sz w:val="28"/>
          <w:szCs w:val="28"/>
        </w:rPr>
        <w:t>о</w:t>
      </w:r>
      <w:r w:rsidRPr="00CF0403">
        <w:rPr>
          <w:sz w:val="28"/>
          <w:szCs w:val="28"/>
        </w:rPr>
        <w:t>ведение работы по оптимизации налоговых льгот на основе их инвентариз</w:t>
      </w:r>
      <w:r w:rsidRPr="00CF0403">
        <w:rPr>
          <w:sz w:val="28"/>
          <w:szCs w:val="28"/>
        </w:rPr>
        <w:t>а</w:t>
      </w:r>
      <w:r w:rsidRPr="00CF0403">
        <w:rPr>
          <w:sz w:val="28"/>
          <w:szCs w:val="28"/>
        </w:rPr>
        <w:t>ции и дополнительного рассмотрения на предмет эффективности.</w:t>
      </w:r>
    </w:p>
    <w:p w:rsidR="005C2FCD" w:rsidRPr="00CF0403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5C2FCD" w:rsidRPr="00CF0403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9719BE">
        <w:rPr>
          <w:sz w:val="28"/>
          <w:szCs w:val="28"/>
        </w:rPr>
        <w:t>Для формирования прогноза консолидированного бюджета Республики Татарстан на 2019 – 2021 годы использова</w:t>
      </w:r>
      <w:r>
        <w:rPr>
          <w:sz w:val="28"/>
          <w:szCs w:val="28"/>
        </w:rPr>
        <w:t>ны</w:t>
      </w:r>
      <w:r w:rsidRPr="009719BE">
        <w:rPr>
          <w:sz w:val="28"/>
          <w:szCs w:val="28"/>
        </w:rPr>
        <w:t xml:space="preserve"> </w:t>
      </w:r>
      <w:r w:rsidRPr="00CF0403">
        <w:rPr>
          <w:sz w:val="28"/>
          <w:szCs w:val="28"/>
        </w:rPr>
        <w:t xml:space="preserve">следующие </w:t>
      </w:r>
      <w:r w:rsidRPr="009719BE">
        <w:rPr>
          <w:sz w:val="28"/>
          <w:szCs w:val="28"/>
        </w:rPr>
        <w:t>параметры: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3"/>
        <w:gridCol w:w="1533"/>
        <w:gridCol w:w="1533"/>
        <w:gridCol w:w="1533"/>
      </w:tblGrid>
      <w:tr w:rsidR="005C2FCD" w:rsidRPr="009719BE" w:rsidTr="00391892">
        <w:tc>
          <w:tcPr>
            <w:tcW w:w="4863" w:type="dxa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Наименование</w:t>
            </w:r>
          </w:p>
        </w:tc>
        <w:tc>
          <w:tcPr>
            <w:tcW w:w="1533" w:type="dxa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2019 год</w:t>
            </w:r>
          </w:p>
        </w:tc>
        <w:tc>
          <w:tcPr>
            <w:tcW w:w="1533" w:type="dxa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2020 год</w:t>
            </w:r>
          </w:p>
        </w:tc>
        <w:tc>
          <w:tcPr>
            <w:tcW w:w="1533" w:type="dxa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2021 год</w:t>
            </w:r>
          </w:p>
        </w:tc>
      </w:tr>
      <w:tr w:rsidR="005C2FCD" w:rsidRPr="009719BE" w:rsidTr="00391892">
        <w:tc>
          <w:tcPr>
            <w:tcW w:w="4863" w:type="dxa"/>
          </w:tcPr>
          <w:p w:rsidR="005C2FCD" w:rsidRPr="009719BE" w:rsidRDefault="005C2FCD" w:rsidP="00391892">
            <w:pPr>
              <w:spacing w:line="288" w:lineRule="auto"/>
            </w:pPr>
            <w:r w:rsidRPr="009719BE">
              <w:t>Цена на нефть, долларов за баррель</w:t>
            </w:r>
          </w:p>
        </w:tc>
        <w:tc>
          <w:tcPr>
            <w:tcW w:w="1533" w:type="dxa"/>
            <w:vAlign w:val="center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63,4</w:t>
            </w:r>
          </w:p>
        </w:tc>
        <w:tc>
          <w:tcPr>
            <w:tcW w:w="1533" w:type="dxa"/>
            <w:vAlign w:val="center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59,7</w:t>
            </w:r>
          </w:p>
        </w:tc>
        <w:tc>
          <w:tcPr>
            <w:tcW w:w="1533" w:type="dxa"/>
            <w:vAlign w:val="center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57,9</w:t>
            </w:r>
          </w:p>
        </w:tc>
      </w:tr>
      <w:tr w:rsidR="005C2FCD" w:rsidRPr="009719BE" w:rsidTr="00391892">
        <w:tc>
          <w:tcPr>
            <w:tcW w:w="4863" w:type="dxa"/>
          </w:tcPr>
          <w:p w:rsidR="005C2FCD" w:rsidRPr="009719BE" w:rsidRDefault="005C2FCD" w:rsidP="00391892">
            <w:pPr>
              <w:spacing w:line="288" w:lineRule="auto"/>
            </w:pPr>
            <w:r w:rsidRPr="009719BE">
              <w:t>Курс доллара, рублей</w:t>
            </w:r>
          </w:p>
        </w:tc>
        <w:tc>
          <w:tcPr>
            <w:tcW w:w="1533" w:type="dxa"/>
            <w:vAlign w:val="center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63,2</w:t>
            </w:r>
          </w:p>
        </w:tc>
        <w:tc>
          <w:tcPr>
            <w:tcW w:w="1533" w:type="dxa"/>
            <w:vAlign w:val="center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63,8</w:t>
            </w:r>
          </w:p>
        </w:tc>
        <w:tc>
          <w:tcPr>
            <w:tcW w:w="1533" w:type="dxa"/>
            <w:vAlign w:val="center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64,0</w:t>
            </w:r>
          </w:p>
        </w:tc>
      </w:tr>
      <w:tr w:rsidR="005C2FCD" w:rsidRPr="009719BE" w:rsidTr="00391892">
        <w:tc>
          <w:tcPr>
            <w:tcW w:w="4863" w:type="dxa"/>
          </w:tcPr>
          <w:p w:rsidR="005C2FCD" w:rsidRPr="009719BE" w:rsidRDefault="005C2FCD" w:rsidP="00391892">
            <w:pPr>
              <w:spacing w:line="288" w:lineRule="auto"/>
            </w:pPr>
            <w:r w:rsidRPr="009719BE">
              <w:t>Инфляция, (рост %)</w:t>
            </w:r>
          </w:p>
        </w:tc>
        <w:tc>
          <w:tcPr>
            <w:tcW w:w="1533" w:type="dxa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104,3</w:t>
            </w:r>
          </w:p>
        </w:tc>
        <w:tc>
          <w:tcPr>
            <w:tcW w:w="1533" w:type="dxa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103,8</w:t>
            </w:r>
          </w:p>
        </w:tc>
        <w:tc>
          <w:tcPr>
            <w:tcW w:w="1533" w:type="dxa"/>
          </w:tcPr>
          <w:p w:rsidR="005C2FCD" w:rsidRPr="009719BE" w:rsidRDefault="005C2FCD" w:rsidP="00391892">
            <w:pPr>
              <w:spacing w:line="288" w:lineRule="auto"/>
              <w:jc w:val="center"/>
            </w:pPr>
            <w:r w:rsidRPr="009719BE">
              <w:t>104,0</w:t>
            </w:r>
          </w:p>
        </w:tc>
      </w:tr>
    </w:tbl>
    <w:p w:rsidR="005C2FCD" w:rsidRDefault="005C2FCD" w:rsidP="005C2FCD">
      <w:pPr>
        <w:spacing w:line="288" w:lineRule="auto"/>
        <w:ind w:firstLine="567"/>
        <w:jc w:val="both"/>
        <w:rPr>
          <w:rStyle w:val="a6"/>
          <w:rFonts w:eastAsia="Calibri"/>
          <w:b w:val="0"/>
          <w:sz w:val="32"/>
          <w:szCs w:val="32"/>
          <w:lang w:eastAsia="en-US"/>
        </w:rPr>
      </w:pPr>
    </w:p>
    <w:p w:rsidR="005C2FCD" w:rsidRPr="009719BE" w:rsidRDefault="005C2FCD" w:rsidP="005C2FCD">
      <w:pPr>
        <w:spacing w:line="288" w:lineRule="auto"/>
        <w:ind w:firstLine="567"/>
        <w:jc w:val="both"/>
        <w:rPr>
          <w:rStyle w:val="a6"/>
          <w:rFonts w:eastAsia="Calibri"/>
          <w:b w:val="0"/>
          <w:sz w:val="32"/>
          <w:szCs w:val="32"/>
          <w:lang w:eastAsia="en-US"/>
        </w:rPr>
      </w:pPr>
    </w:p>
    <w:p w:rsidR="005C2FCD" w:rsidRPr="009719BE" w:rsidRDefault="005C2FCD" w:rsidP="005C2FCD">
      <w:pPr>
        <w:spacing w:line="288" w:lineRule="auto"/>
        <w:ind w:firstLine="567"/>
        <w:jc w:val="both"/>
        <w:rPr>
          <w:sz w:val="28"/>
          <w:szCs w:val="28"/>
        </w:rPr>
      </w:pPr>
      <w:r w:rsidRPr="009719BE">
        <w:rPr>
          <w:sz w:val="28"/>
          <w:szCs w:val="28"/>
        </w:rPr>
        <w:t>При расчете расходной части консолидированного бюджета Республики Татарстан на 201</w:t>
      </w:r>
      <w:r>
        <w:rPr>
          <w:sz w:val="28"/>
          <w:szCs w:val="28"/>
        </w:rPr>
        <w:t>9</w:t>
      </w:r>
      <w:r w:rsidRPr="009719BE">
        <w:rPr>
          <w:sz w:val="28"/>
          <w:szCs w:val="28"/>
        </w:rPr>
        <w:t xml:space="preserve"> – 202</w:t>
      </w:r>
      <w:r>
        <w:rPr>
          <w:sz w:val="28"/>
          <w:szCs w:val="28"/>
        </w:rPr>
        <w:t>1</w:t>
      </w:r>
      <w:r w:rsidRPr="009719BE">
        <w:rPr>
          <w:sz w:val="28"/>
          <w:szCs w:val="28"/>
        </w:rPr>
        <w:t xml:space="preserve"> годы использова</w:t>
      </w:r>
      <w:r>
        <w:rPr>
          <w:sz w:val="28"/>
          <w:szCs w:val="28"/>
        </w:rPr>
        <w:t>ны</w:t>
      </w:r>
      <w:r w:rsidRPr="009719BE">
        <w:rPr>
          <w:sz w:val="28"/>
          <w:szCs w:val="28"/>
        </w:rPr>
        <w:t xml:space="preserve">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8"/>
        <w:gridCol w:w="1677"/>
        <w:gridCol w:w="1689"/>
        <w:gridCol w:w="1617"/>
      </w:tblGrid>
      <w:tr w:rsidR="005C2FCD" w:rsidRPr="009719BE" w:rsidTr="00391892">
        <w:trPr>
          <w:tblHeader/>
        </w:trPr>
        <w:tc>
          <w:tcPr>
            <w:tcW w:w="2344" w:type="pct"/>
            <w:vAlign w:val="center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Наименование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</w:p>
        </w:tc>
        <w:tc>
          <w:tcPr>
            <w:tcW w:w="894" w:type="pct"/>
            <w:vAlign w:val="center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2019 год</w:t>
            </w:r>
          </w:p>
        </w:tc>
        <w:tc>
          <w:tcPr>
            <w:tcW w:w="900" w:type="pct"/>
            <w:vAlign w:val="center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2020 год</w:t>
            </w:r>
          </w:p>
        </w:tc>
        <w:tc>
          <w:tcPr>
            <w:tcW w:w="862" w:type="pct"/>
            <w:vAlign w:val="center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2021 год</w:t>
            </w:r>
          </w:p>
        </w:tc>
      </w:tr>
      <w:tr w:rsidR="005C2FCD" w:rsidRPr="009719BE" w:rsidTr="00391892">
        <w:tc>
          <w:tcPr>
            <w:tcW w:w="2344" w:type="pct"/>
            <w:vAlign w:val="center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rPr>
                <w:i/>
              </w:rPr>
            </w:pPr>
            <w:r w:rsidRPr="009719BE">
              <w:t>Заработная плата работников госуда</w:t>
            </w:r>
            <w:r w:rsidRPr="009719BE">
              <w:t>р</w:t>
            </w:r>
            <w:r w:rsidRPr="009719BE">
              <w:t>ственных и муниципальных бюджетных и автономных учреждений</w:t>
            </w:r>
          </w:p>
        </w:tc>
        <w:tc>
          <w:tcPr>
            <w:tcW w:w="89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01.10.2019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4,3 %</w:t>
            </w:r>
          </w:p>
        </w:tc>
        <w:tc>
          <w:tcPr>
            <w:tcW w:w="900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01.10.2020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3,8 %</w:t>
            </w:r>
          </w:p>
        </w:tc>
        <w:tc>
          <w:tcPr>
            <w:tcW w:w="862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01.10.2021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4,0 %</w:t>
            </w:r>
          </w:p>
        </w:tc>
      </w:tr>
      <w:tr w:rsidR="005C2FCD" w:rsidRPr="009719BE" w:rsidTr="00391892">
        <w:trPr>
          <w:trHeight w:val="522"/>
        </w:trPr>
        <w:tc>
          <w:tcPr>
            <w:tcW w:w="234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9719BE">
              <w:t>Заработная плата отдельных категорий работников бюджетной сферы (обозн</w:t>
            </w:r>
            <w:r w:rsidRPr="009719BE">
              <w:t>а</w:t>
            </w:r>
            <w:r w:rsidRPr="009719BE">
              <w:t xml:space="preserve">ченных в Указах Президента РФ от 07.05.2012 г. №597, от 01.06.2012 г. </w:t>
            </w:r>
            <w:r w:rsidRPr="009719BE">
              <w:lastRenderedPageBreak/>
              <w:t>№761, от 28.12.2012 г. №1688)</w:t>
            </w:r>
          </w:p>
        </w:tc>
        <w:tc>
          <w:tcPr>
            <w:tcW w:w="89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lastRenderedPageBreak/>
              <w:t>повышение с 01.01.2019 г.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4,3 %</w:t>
            </w:r>
          </w:p>
        </w:tc>
        <w:tc>
          <w:tcPr>
            <w:tcW w:w="900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повышение с 01.01.2020 г.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3,8 %</w:t>
            </w:r>
          </w:p>
        </w:tc>
        <w:tc>
          <w:tcPr>
            <w:tcW w:w="862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повышение с 01.01.2021 г.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4,0 %</w:t>
            </w:r>
          </w:p>
        </w:tc>
      </w:tr>
      <w:tr w:rsidR="005C2FCD" w:rsidRPr="009719BE" w:rsidTr="00391892">
        <w:tc>
          <w:tcPr>
            <w:tcW w:w="2344" w:type="pct"/>
            <w:vAlign w:val="center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rPr>
                <w:i/>
              </w:rPr>
            </w:pPr>
            <w:r w:rsidRPr="009719BE">
              <w:lastRenderedPageBreak/>
              <w:t>Заработная плата в органах госуда</w:t>
            </w:r>
            <w:r w:rsidRPr="009719BE">
              <w:t>р</w:t>
            </w:r>
            <w:r w:rsidRPr="009719BE">
              <w:t>ственного и муниципального управл</w:t>
            </w:r>
            <w:r w:rsidRPr="009719BE">
              <w:t>е</w:t>
            </w:r>
            <w:r w:rsidRPr="009719BE">
              <w:t>ния</w:t>
            </w:r>
          </w:p>
        </w:tc>
        <w:tc>
          <w:tcPr>
            <w:tcW w:w="2656" w:type="pct"/>
            <w:gridSpan w:val="3"/>
          </w:tcPr>
          <w:p w:rsidR="005C2FCD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>
              <w:t>без индексации</w:t>
            </w:r>
          </w:p>
        </w:tc>
      </w:tr>
      <w:tr w:rsidR="005C2FCD" w:rsidRPr="009719BE" w:rsidTr="00391892">
        <w:tc>
          <w:tcPr>
            <w:tcW w:w="234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9719BE">
              <w:t xml:space="preserve">Публичные обязательства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9719BE">
              <w:t>(денежные выплаты населению)</w:t>
            </w:r>
          </w:p>
        </w:tc>
        <w:tc>
          <w:tcPr>
            <w:tcW w:w="89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01.01.2019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4,3 %</w:t>
            </w:r>
          </w:p>
        </w:tc>
        <w:tc>
          <w:tcPr>
            <w:tcW w:w="900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01.01.2020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3,8 %</w:t>
            </w:r>
          </w:p>
        </w:tc>
        <w:tc>
          <w:tcPr>
            <w:tcW w:w="862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01.01.2021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4,0 %</w:t>
            </w:r>
          </w:p>
        </w:tc>
      </w:tr>
      <w:tr w:rsidR="005C2FCD" w:rsidRPr="009719BE" w:rsidTr="00391892">
        <w:tc>
          <w:tcPr>
            <w:tcW w:w="234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9719BE">
              <w:t>Стипендии</w:t>
            </w:r>
          </w:p>
        </w:tc>
        <w:tc>
          <w:tcPr>
            <w:tcW w:w="89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01.09.2019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4,3 %</w:t>
            </w:r>
          </w:p>
        </w:tc>
        <w:tc>
          <w:tcPr>
            <w:tcW w:w="900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01.09.2020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3,8 %</w:t>
            </w:r>
          </w:p>
        </w:tc>
        <w:tc>
          <w:tcPr>
            <w:tcW w:w="862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01.09.2021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4,0 %</w:t>
            </w:r>
          </w:p>
        </w:tc>
      </w:tr>
      <w:tr w:rsidR="005C2FCD" w:rsidRPr="009719BE" w:rsidTr="00391892">
        <w:tc>
          <w:tcPr>
            <w:tcW w:w="234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9719BE">
              <w:t>Продукты питания, медикаменты</w:t>
            </w:r>
          </w:p>
        </w:tc>
        <w:tc>
          <w:tcPr>
            <w:tcW w:w="89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01.01.2019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4,3 %</w:t>
            </w:r>
          </w:p>
        </w:tc>
        <w:tc>
          <w:tcPr>
            <w:tcW w:w="900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01.01.2020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3,8 %</w:t>
            </w:r>
          </w:p>
        </w:tc>
        <w:tc>
          <w:tcPr>
            <w:tcW w:w="862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01.01.2021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4,0 %</w:t>
            </w:r>
          </w:p>
        </w:tc>
      </w:tr>
      <w:tr w:rsidR="005C2FCD" w:rsidRPr="009719BE" w:rsidTr="00391892">
        <w:tc>
          <w:tcPr>
            <w:tcW w:w="234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9719BE">
              <w:t>Коммунальные услуги</w:t>
            </w:r>
          </w:p>
        </w:tc>
        <w:tc>
          <w:tcPr>
            <w:tcW w:w="89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01.07.2019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4,3 %</w:t>
            </w:r>
          </w:p>
        </w:tc>
        <w:tc>
          <w:tcPr>
            <w:tcW w:w="900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01.07.2020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3,8 %</w:t>
            </w:r>
          </w:p>
        </w:tc>
        <w:tc>
          <w:tcPr>
            <w:tcW w:w="862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повышение с 01.07.2021 г.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на 4,0 %</w:t>
            </w:r>
          </w:p>
        </w:tc>
      </w:tr>
      <w:tr w:rsidR="005C2FCD" w:rsidRPr="003B6FB5" w:rsidTr="00391892">
        <w:tc>
          <w:tcPr>
            <w:tcW w:w="234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9719BE">
              <w:t xml:space="preserve">Остальные расходы </w:t>
            </w:r>
          </w:p>
        </w:tc>
        <w:tc>
          <w:tcPr>
            <w:tcW w:w="894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на уровне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2018 г.</w:t>
            </w:r>
          </w:p>
        </w:tc>
        <w:tc>
          <w:tcPr>
            <w:tcW w:w="900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на уровне </w:t>
            </w:r>
          </w:p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2018 г.</w:t>
            </w:r>
          </w:p>
        </w:tc>
        <w:tc>
          <w:tcPr>
            <w:tcW w:w="862" w:type="pct"/>
          </w:tcPr>
          <w:p w:rsidR="005C2FCD" w:rsidRPr="009719BE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 xml:space="preserve">на уровне </w:t>
            </w:r>
          </w:p>
          <w:p w:rsidR="005C2FCD" w:rsidRPr="00C90697" w:rsidRDefault="005C2FCD" w:rsidP="00391892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9719BE">
              <w:t>2018 г.</w:t>
            </w:r>
          </w:p>
        </w:tc>
      </w:tr>
    </w:tbl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 xml:space="preserve">Неизменным принципом и приоритетом при планировании бюджетных расходов остается обеспечение исполнения всех социальных обязательств республики, как ранее принятых, так и тех, которые будут реализовываться в рамках выполнения Указа Президента </w:t>
      </w:r>
      <w:r w:rsidRPr="00CF0403">
        <w:rPr>
          <w:sz w:val="28"/>
          <w:szCs w:val="28"/>
        </w:rPr>
        <w:t>Российской Федерации от 7 мая 2018 года № 204</w:t>
      </w:r>
      <w:r>
        <w:rPr>
          <w:sz w:val="28"/>
          <w:szCs w:val="28"/>
        </w:rPr>
        <w:t xml:space="preserve">. </w:t>
      </w:r>
      <w:r w:rsidRPr="00570FB9">
        <w:rPr>
          <w:sz w:val="28"/>
          <w:szCs w:val="28"/>
        </w:rPr>
        <w:t>Необходимость выполнения данных обязательств ведет к сохр</w:t>
      </w:r>
      <w:r w:rsidRPr="00570FB9">
        <w:rPr>
          <w:sz w:val="28"/>
          <w:szCs w:val="28"/>
        </w:rPr>
        <w:t>а</w:t>
      </w:r>
      <w:r w:rsidRPr="00570FB9">
        <w:rPr>
          <w:sz w:val="28"/>
          <w:szCs w:val="28"/>
        </w:rPr>
        <w:t>нению социальной ориентации бюджета. Осуществление соответствующих бюджетных расходов связано с вопросами повышения качества жизни нас</w:t>
      </w:r>
      <w:r w:rsidRPr="00570FB9">
        <w:rPr>
          <w:sz w:val="28"/>
          <w:szCs w:val="28"/>
        </w:rPr>
        <w:t>е</w:t>
      </w:r>
      <w:r w:rsidRPr="00570FB9">
        <w:rPr>
          <w:sz w:val="28"/>
          <w:szCs w:val="28"/>
        </w:rPr>
        <w:t>ления, адресным решением социальных проблем.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>Важным фактором при обеспечении сбалансированности и устойчивости бюджетов всех уровней и одним из направлений бюджетной политики Ре</w:t>
      </w:r>
      <w:r w:rsidRPr="00570FB9">
        <w:rPr>
          <w:sz w:val="28"/>
          <w:szCs w:val="28"/>
        </w:rPr>
        <w:t>с</w:t>
      </w:r>
      <w:r w:rsidRPr="00570FB9">
        <w:rPr>
          <w:sz w:val="28"/>
          <w:szCs w:val="28"/>
        </w:rPr>
        <w:t>публики Татарстан продолжает оставаться безусловное соблюдение принципа отказа от принятия бюджетных обязательств, не обеспеченных реальными и</w:t>
      </w:r>
      <w:r w:rsidRPr="00570FB9">
        <w:rPr>
          <w:sz w:val="28"/>
          <w:szCs w:val="28"/>
        </w:rPr>
        <w:t>с</w:t>
      </w:r>
      <w:r w:rsidRPr="00570FB9">
        <w:rPr>
          <w:sz w:val="28"/>
          <w:szCs w:val="28"/>
        </w:rPr>
        <w:t>точниками финансирования. В рамках формирования проекта бюджета Ре</w:t>
      </w:r>
      <w:r w:rsidRPr="00570FB9">
        <w:rPr>
          <w:sz w:val="28"/>
          <w:szCs w:val="28"/>
        </w:rPr>
        <w:t>с</w:t>
      </w:r>
      <w:r w:rsidRPr="00570FB9">
        <w:rPr>
          <w:sz w:val="28"/>
          <w:szCs w:val="28"/>
        </w:rPr>
        <w:t>публики Татарстан, при рассмотрении вопросов, связанных с принятием д</w:t>
      </w:r>
      <w:r w:rsidRPr="00570FB9">
        <w:rPr>
          <w:sz w:val="28"/>
          <w:szCs w:val="28"/>
        </w:rPr>
        <w:t>о</w:t>
      </w:r>
      <w:r w:rsidRPr="00570FB9">
        <w:rPr>
          <w:sz w:val="28"/>
          <w:szCs w:val="28"/>
        </w:rPr>
        <w:t>полнительных расходных обязательств, сохраняются принятые в предыдущие годы подходы, направленные на исключение возникновения несбалансир</w:t>
      </w:r>
      <w:r w:rsidRPr="00570FB9">
        <w:rPr>
          <w:sz w:val="28"/>
          <w:szCs w:val="28"/>
        </w:rPr>
        <w:t>о</w:t>
      </w:r>
      <w:r w:rsidRPr="00570FB9">
        <w:rPr>
          <w:sz w:val="28"/>
          <w:szCs w:val="28"/>
        </w:rPr>
        <w:t>ванности бюджета. Инициативы и предложения по принятию новых расхо</w:t>
      </w:r>
      <w:r w:rsidRPr="00570FB9">
        <w:rPr>
          <w:sz w:val="28"/>
          <w:szCs w:val="28"/>
        </w:rPr>
        <w:t>д</w:t>
      </w:r>
      <w:r w:rsidRPr="00570FB9">
        <w:rPr>
          <w:sz w:val="28"/>
          <w:szCs w:val="28"/>
        </w:rPr>
        <w:t>ных обязательств должны рассматриваться исключительно после соотве</w:t>
      </w:r>
      <w:r w:rsidRPr="00570FB9">
        <w:rPr>
          <w:sz w:val="28"/>
          <w:szCs w:val="28"/>
        </w:rPr>
        <w:t>т</w:t>
      </w:r>
      <w:r w:rsidRPr="00570FB9">
        <w:rPr>
          <w:sz w:val="28"/>
          <w:szCs w:val="28"/>
        </w:rPr>
        <w:t>ствующей оценки их эффективности, пересмотра нормативных правовых а</w:t>
      </w:r>
      <w:r w:rsidRPr="00570FB9">
        <w:rPr>
          <w:sz w:val="28"/>
          <w:szCs w:val="28"/>
        </w:rPr>
        <w:t>к</w:t>
      </w:r>
      <w:r w:rsidRPr="00570FB9">
        <w:rPr>
          <w:sz w:val="28"/>
          <w:szCs w:val="28"/>
        </w:rPr>
        <w:lastRenderedPageBreak/>
        <w:t>тов, устанавливающих действующие расходные обязательства, и учитываться только при условии обеспечения соответствующими источниками финанс</w:t>
      </w:r>
      <w:r w:rsidRPr="00570FB9">
        <w:rPr>
          <w:sz w:val="28"/>
          <w:szCs w:val="28"/>
        </w:rPr>
        <w:t>и</w:t>
      </w:r>
      <w:r w:rsidRPr="00570FB9">
        <w:rPr>
          <w:sz w:val="28"/>
          <w:szCs w:val="28"/>
        </w:rPr>
        <w:t>рования.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>В предстоящий трехлетний период одним из основных направлений р</w:t>
      </w:r>
      <w:r w:rsidRPr="00570FB9">
        <w:rPr>
          <w:sz w:val="28"/>
          <w:szCs w:val="28"/>
        </w:rPr>
        <w:t>а</w:t>
      </w:r>
      <w:r w:rsidRPr="00570FB9">
        <w:rPr>
          <w:sz w:val="28"/>
          <w:szCs w:val="28"/>
        </w:rPr>
        <w:t>боты также остается реализация политики по повышению эффективности бюджетных расходов. При этом сохраняет важность использование преим</w:t>
      </w:r>
      <w:r w:rsidRPr="00570FB9">
        <w:rPr>
          <w:sz w:val="28"/>
          <w:szCs w:val="28"/>
        </w:rPr>
        <w:t>у</w:t>
      </w:r>
      <w:r w:rsidRPr="00570FB9">
        <w:rPr>
          <w:sz w:val="28"/>
          <w:szCs w:val="28"/>
        </w:rPr>
        <w:t>ще</w:t>
      </w:r>
      <w:proofErr w:type="gramStart"/>
      <w:r w:rsidRPr="00570FB9">
        <w:rPr>
          <w:sz w:val="28"/>
          <w:szCs w:val="28"/>
        </w:rPr>
        <w:t>ств пр</w:t>
      </w:r>
      <w:proofErr w:type="gramEnd"/>
      <w:r w:rsidRPr="00570FB9">
        <w:rPr>
          <w:sz w:val="28"/>
          <w:szCs w:val="28"/>
        </w:rPr>
        <w:t>ограммно-целевого планирования, таких как повышение обоснова</w:t>
      </w:r>
      <w:r w:rsidRPr="00570FB9">
        <w:rPr>
          <w:sz w:val="28"/>
          <w:szCs w:val="28"/>
        </w:rPr>
        <w:t>н</w:t>
      </w:r>
      <w:r w:rsidRPr="00570FB9">
        <w:rPr>
          <w:sz w:val="28"/>
          <w:szCs w:val="28"/>
        </w:rPr>
        <w:t>ности бюджетных ассигнований на этапе их формирования, обеспечение их большей прозрачности для общества и появление более широких возможн</w:t>
      </w:r>
      <w:r w:rsidRPr="00570FB9">
        <w:rPr>
          <w:sz w:val="28"/>
          <w:szCs w:val="28"/>
        </w:rPr>
        <w:t>о</w:t>
      </w:r>
      <w:r w:rsidRPr="00570FB9">
        <w:rPr>
          <w:sz w:val="28"/>
          <w:szCs w:val="28"/>
        </w:rPr>
        <w:t>стей для оценки их эффективности. Система формирования бюджета на осн</w:t>
      </w:r>
      <w:r w:rsidRPr="00570FB9">
        <w:rPr>
          <w:sz w:val="28"/>
          <w:szCs w:val="28"/>
        </w:rPr>
        <w:t>о</w:t>
      </w:r>
      <w:r w:rsidRPr="00570FB9">
        <w:rPr>
          <w:sz w:val="28"/>
          <w:szCs w:val="28"/>
        </w:rPr>
        <w:t>ве государственных программ должна способствовать достижению стратег</w:t>
      </w:r>
      <w:r w:rsidRPr="00570FB9">
        <w:rPr>
          <w:sz w:val="28"/>
          <w:szCs w:val="28"/>
        </w:rPr>
        <w:t>и</w:t>
      </w:r>
      <w:r w:rsidRPr="00570FB9">
        <w:rPr>
          <w:sz w:val="28"/>
          <w:szCs w:val="28"/>
        </w:rPr>
        <w:t xml:space="preserve">ческих целей развития республики и целей деятельности </w:t>
      </w:r>
      <w:r>
        <w:rPr>
          <w:sz w:val="28"/>
          <w:szCs w:val="28"/>
        </w:rPr>
        <w:t>Кабинета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стров</w:t>
      </w:r>
      <w:r w:rsidRPr="00570FB9">
        <w:rPr>
          <w:sz w:val="28"/>
          <w:szCs w:val="28"/>
        </w:rPr>
        <w:t xml:space="preserve"> Республики Татарстан. Оценка реализации государственных программ и </w:t>
      </w:r>
      <w:proofErr w:type="gramStart"/>
      <w:r w:rsidRPr="00570FB9">
        <w:rPr>
          <w:sz w:val="28"/>
          <w:szCs w:val="28"/>
        </w:rPr>
        <w:t>достижения</w:t>
      </w:r>
      <w:proofErr w:type="gramEnd"/>
      <w:r w:rsidRPr="00570FB9">
        <w:rPr>
          <w:sz w:val="28"/>
          <w:szCs w:val="28"/>
        </w:rPr>
        <w:t xml:space="preserve"> установленных в них целевых индикаторов должна получить дальнейшее развитие и оказывать большее влияние на принятие решени</w:t>
      </w:r>
      <w:r>
        <w:rPr>
          <w:sz w:val="28"/>
          <w:szCs w:val="28"/>
        </w:rPr>
        <w:t>й</w:t>
      </w:r>
      <w:r w:rsidRPr="00570FB9">
        <w:rPr>
          <w:sz w:val="28"/>
          <w:szCs w:val="28"/>
        </w:rPr>
        <w:t xml:space="preserve"> при бюджетном планировании на очередной трехлетний период.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>Соответствующая работа должна позволить выявить определенные р</w:t>
      </w:r>
      <w:r w:rsidRPr="00570FB9">
        <w:rPr>
          <w:sz w:val="28"/>
          <w:szCs w:val="28"/>
        </w:rPr>
        <w:t>е</w:t>
      </w:r>
      <w:r w:rsidRPr="00570FB9">
        <w:rPr>
          <w:sz w:val="28"/>
          <w:szCs w:val="28"/>
        </w:rPr>
        <w:t>зервы в процессе формирования и исполнения расходной части бюджета. Значимость данной работы усиливается в свете проработки в настоящее вр</w:t>
      </w:r>
      <w:r w:rsidRPr="00570FB9">
        <w:rPr>
          <w:sz w:val="28"/>
          <w:szCs w:val="28"/>
        </w:rPr>
        <w:t>е</w:t>
      </w:r>
      <w:r w:rsidRPr="00570FB9">
        <w:rPr>
          <w:sz w:val="28"/>
          <w:szCs w:val="28"/>
        </w:rPr>
        <w:t>мя на федеральном уровне ряда решений, которые</w:t>
      </w:r>
      <w:r>
        <w:rPr>
          <w:sz w:val="28"/>
          <w:szCs w:val="28"/>
        </w:rPr>
        <w:t>, как уже отмечалось,</w:t>
      </w:r>
      <w:r w:rsidRPr="00570FB9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жут влияние на уменьшение</w:t>
      </w:r>
      <w:r w:rsidRPr="00570FB9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ной базы</w:t>
      </w:r>
      <w:r w:rsidRPr="00570FB9">
        <w:rPr>
          <w:sz w:val="28"/>
          <w:szCs w:val="28"/>
        </w:rPr>
        <w:t xml:space="preserve"> консолидированных бюджетов субъектов Российской Федерации.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>Вместе с те</w:t>
      </w:r>
      <w:r>
        <w:rPr>
          <w:sz w:val="28"/>
          <w:szCs w:val="28"/>
        </w:rPr>
        <w:t>м, при формировании и исполнении</w:t>
      </w:r>
      <w:r w:rsidRPr="00570FB9">
        <w:rPr>
          <w:sz w:val="28"/>
          <w:szCs w:val="28"/>
        </w:rPr>
        <w:t xml:space="preserve"> расходной части бюдж</w:t>
      </w:r>
      <w:r w:rsidRPr="00570FB9">
        <w:rPr>
          <w:sz w:val="28"/>
          <w:szCs w:val="28"/>
        </w:rPr>
        <w:t>е</w:t>
      </w:r>
      <w:r w:rsidRPr="00570FB9">
        <w:rPr>
          <w:sz w:val="28"/>
          <w:szCs w:val="28"/>
        </w:rPr>
        <w:t>та необходимо не только полное обеспечение первоочередных и социально-значимых расходов, но и поддержание оптимального соотношения текущих расходов и расходов капитального характера. В части капитальных расходов необходимо дальнейшее усиление работы по предварительной оценке ожид</w:t>
      </w:r>
      <w:r w:rsidRPr="00570FB9">
        <w:rPr>
          <w:sz w:val="28"/>
          <w:szCs w:val="28"/>
        </w:rPr>
        <w:t>а</w:t>
      </w:r>
      <w:r w:rsidRPr="00570FB9">
        <w:rPr>
          <w:sz w:val="28"/>
          <w:szCs w:val="28"/>
        </w:rPr>
        <w:t>емой эффективности таких расходов, расширение практики использования конкурсных процедур, предваряющих принятие решения о включении в бюджет соответствующих расходов, а также развитие подходов по осущест</w:t>
      </w:r>
      <w:r w:rsidRPr="00570FB9">
        <w:rPr>
          <w:sz w:val="28"/>
          <w:szCs w:val="28"/>
        </w:rPr>
        <w:t>в</w:t>
      </w:r>
      <w:r w:rsidRPr="00570FB9">
        <w:rPr>
          <w:sz w:val="28"/>
          <w:szCs w:val="28"/>
        </w:rPr>
        <w:t>лению текущего и последующего финансового контроля эффективности ра</w:t>
      </w:r>
      <w:r w:rsidRPr="00570FB9">
        <w:rPr>
          <w:sz w:val="28"/>
          <w:szCs w:val="28"/>
        </w:rPr>
        <w:t>с</w:t>
      </w:r>
      <w:r w:rsidRPr="00570FB9">
        <w:rPr>
          <w:sz w:val="28"/>
          <w:szCs w:val="28"/>
        </w:rPr>
        <w:t>ходования данных средств.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>В части повышения операционной эффективности расходования бю</w:t>
      </w:r>
      <w:r w:rsidRPr="00570FB9">
        <w:rPr>
          <w:sz w:val="28"/>
          <w:szCs w:val="28"/>
        </w:rPr>
        <w:t>д</w:t>
      </w:r>
      <w:r w:rsidRPr="00570FB9">
        <w:rPr>
          <w:sz w:val="28"/>
          <w:szCs w:val="28"/>
        </w:rPr>
        <w:t>жетных ресурсов необходимо сосредоточиться на таких направлениях, как проведение работы с дебиторской задолженностью, направленной на посл</w:t>
      </w:r>
      <w:r w:rsidRPr="00570FB9">
        <w:rPr>
          <w:sz w:val="28"/>
          <w:szCs w:val="28"/>
        </w:rPr>
        <w:t>е</w:t>
      </w:r>
      <w:r w:rsidRPr="00570FB9">
        <w:rPr>
          <w:sz w:val="28"/>
          <w:szCs w:val="28"/>
        </w:rPr>
        <w:t>довательное и устойчивое снижение ее объемов; обеспечение более равн</w:t>
      </w:r>
      <w:r w:rsidRPr="00570FB9">
        <w:rPr>
          <w:sz w:val="28"/>
          <w:szCs w:val="28"/>
        </w:rPr>
        <w:t>о</w:t>
      </w:r>
      <w:r w:rsidRPr="00570FB9">
        <w:rPr>
          <w:sz w:val="28"/>
          <w:szCs w:val="28"/>
        </w:rPr>
        <w:t>мерного использования бюджетных сре</w:t>
      </w:r>
      <w:proofErr w:type="gramStart"/>
      <w:r w:rsidRPr="00570FB9">
        <w:rPr>
          <w:sz w:val="28"/>
          <w:szCs w:val="28"/>
        </w:rPr>
        <w:t>дств в т</w:t>
      </w:r>
      <w:proofErr w:type="gramEnd"/>
      <w:r w:rsidRPr="00570FB9">
        <w:rPr>
          <w:sz w:val="28"/>
          <w:szCs w:val="28"/>
        </w:rPr>
        <w:t xml:space="preserve">ечение года, в том числе путем перечисления средств в нижестоящие бюджеты лишь в необходимом объеме </w:t>
      </w:r>
      <w:r w:rsidRPr="00570FB9">
        <w:rPr>
          <w:sz w:val="28"/>
          <w:szCs w:val="28"/>
        </w:rPr>
        <w:lastRenderedPageBreak/>
        <w:t>в тот момент времени, когда это требуется для получателей средств, и в соо</w:t>
      </w:r>
      <w:r w:rsidRPr="00570FB9">
        <w:rPr>
          <w:sz w:val="28"/>
          <w:szCs w:val="28"/>
        </w:rPr>
        <w:t>т</w:t>
      </w:r>
      <w:r w:rsidRPr="00570FB9">
        <w:rPr>
          <w:sz w:val="28"/>
          <w:szCs w:val="28"/>
        </w:rPr>
        <w:t>ветствии с целями их предоставления.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>В предстоящий трехлетний период 2019 – 2021 годов</w:t>
      </w:r>
      <w:r>
        <w:rPr>
          <w:sz w:val="28"/>
          <w:szCs w:val="28"/>
        </w:rPr>
        <w:t xml:space="preserve"> б</w:t>
      </w:r>
      <w:r w:rsidRPr="00570FB9">
        <w:rPr>
          <w:sz w:val="28"/>
          <w:szCs w:val="28"/>
        </w:rPr>
        <w:t>удет продолжена работа по повышению открытости и прозрачности бюджетов всех уровней и финансовой деятельности публично-правовых образований в целом в целях реализации принципа прозрачности (открытости), а также для повышения эффективности принимаемых решений, обеспечения целевого использования бюджетных средств и возможности общественного контроля. Будет продо</w:t>
      </w:r>
      <w:r w:rsidRPr="00570FB9">
        <w:rPr>
          <w:sz w:val="28"/>
          <w:szCs w:val="28"/>
        </w:rPr>
        <w:t>л</w:t>
      </w:r>
      <w:r w:rsidRPr="00570FB9">
        <w:rPr>
          <w:sz w:val="28"/>
          <w:szCs w:val="28"/>
        </w:rPr>
        <w:t>жено формирование «Бюджета для граждан», в котором информаци</w:t>
      </w:r>
      <w:r>
        <w:rPr>
          <w:sz w:val="28"/>
          <w:szCs w:val="28"/>
        </w:rPr>
        <w:t>я</w:t>
      </w:r>
      <w:r w:rsidRPr="00570FB9">
        <w:rPr>
          <w:sz w:val="28"/>
          <w:szCs w:val="28"/>
        </w:rPr>
        <w:t xml:space="preserve"> о сост</w:t>
      </w:r>
      <w:r w:rsidRPr="00570FB9">
        <w:rPr>
          <w:sz w:val="28"/>
          <w:szCs w:val="28"/>
        </w:rPr>
        <w:t>о</w:t>
      </w:r>
      <w:r w:rsidRPr="00570FB9">
        <w:rPr>
          <w:sz w:val="28"/>
          <w:szCs w:val="28"/>
        </w:rPr>
        <w:t>янии общественных финансов в республике представлена в доступной для граждан форме.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>Значимым направлением бюджетной политики в 2019 – 2021 годах будет также являться обеспечение повышения качества финансового менеджмента в секторе государственного управления с созданием для этого соответству</w:t>
      </w:r>
      <w:r w:rsidRPr="00570FB9">
        <w:rPr>
          <w:sz w:val="28"/>
          <w:szCs w:val="28"/>
        </w:rPr>
        <w:t>ю</w:t>
      </w:r>
      <w:r w:rsidRPr="00570FB9">
        <w:rPr>
          <w:sz w:val="28"/>
          <w:szCs w:val="28"/>
        </w:rPr>
        <w:t>щих условий организационного и стимулирующего характера на основе еж</w:t>
      </w:r>
      <w:r w:rsidRPr="00570FB9">
        <w:rPr>
          <w:sz w:val="28"/>
          <w:szCs w:val="28"/>
        </w:rPr>
        <w:t>е</w:t>
      </w:r>
      <w:r w:rsidRPr="00570FB9">
        <w:rPr>
          <w:sz w:val="28"/>
          <w:szCs w:val="28"/>
        </w:rPr>
        <w:t>квартально проводимого мониторинга и дальнейшее совершенствование ф</w:t>
      </w:r>
      <w:r w:rsidRPr="00570FB9">
        <w:rPr>
          <w:sz w:val="28"/>
          <w:szCs w:val="28"/>
        </w:rPr>
        <w:t>и</w:t>
      </w:r>
      <w:r w:rsidRPr="00570FB9">
        <w:rPr>
          <w:sz w:val="28"/>
          <w:szCs w:val="28"/>
        </w:rPr>
        <w:t>нансового контроля и надзора в бюджетной сфере.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proofErr w:type="gramStart"/>
      <w:r w:rsidRPr="00570FB9">
        <w:rPr>
          <w:sz w:val="28"/>
          <w:szCs w:val="28"/>
        </w:rPr>
        <w:t xml:space="preserve">В сфере межбюджетных отношений с местными бюджетами одной из основных задач, стоящей перед </w:t>
      </w:r>
      <w:r>
        <w:rPr>
          <w:sz w:val="28"/>
          <w:szCs w:val="28"/>
        </w:rPr>
        <w:t>Кабинетом Министров</w:t>
      </w:r>
      <w:r w:rsidRPr="00570FB9">
        <w:rPr>
          <w:sz w:val="28"/>
          <w:szCs w:val="28"/>
        </w:rPr>
        <w:t xml:space="preserve"> Республики Тата</w:t>
      </w:r>
      <w:r w:rsidRPr="00570FB9">
        <w:rPr>
          <w:sz w:val="28"/>
          <w:szCs w:val="28"/>
        </w:rPr>
        <w:t>р</w:t>
      </w:r>
      <w:r w:rsidRPr="00570FB9">
        <w:rPr>
          <w:sz w:val="28"/>
          <w:szCs w:val="28"/>
        </w:rPr>
        <w:t>стан, продолжает оставаться принятие всех возможных мер по созданию условий для максимальной сбалансированности местных бюджетов всех уровней, с полным обеспечением расходных полномочий, прежде всего по первоочередным и социально-значимым направлениям, доходными источн</w:t>
      </w:r>
      <w:r w:rsidRPr="00570FB9">
        <w:rPr>
          <w:sz w:val="28"/>
          <w:szCs w:val="28"/>
        </w:rPr>
        <w:t>и</w:t>
      </w:r>
      <w:r w:rsidRPr="00570FB9">
        <w:rPr>
          <w:sz w:val="28"/>
          <w:szCs w:val="28"/>
        </w:rPr>
        <w:t>ками, а также по реализации мероприятий по выявлению резервов увеличения доходной базы местных бюджетов</w:t>
      </w:r>
      <w:proofErr w:type="gramEnd"/>
      <w:r w:rsidRPr="00570FB9">
        <w:rPr>
          <w:sz w:val="28"/>
          <w:szCs w:val="28"/>
        </w:rPr>
        <w:t>.</w:t>
      </w:r>
      <w:r>
        <w:rPr>
          <w:sz w:val="28"/>
          <w:szCs w:val="28"/>
        </w:rPr>
        <w:t xml:space="preserve"> Реализация данной задачи должна быть обеспечена и в случае принятия изменений бюджетного законодательства,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гулирующих межбюджетные взаимоотношения между бюджетами реги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 и местного уровней.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5C2FCD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proofErr w:type="gramStart"/>
      <w:r w:rsidRPr="00570FB9">
        <w:rPr>
          <w:sz w:val="28"/>
          <w:szCs w:val="28"/>
        </w:rPr>
        <w:t>В области государственного долга важнейшим направлением работы я</w:t>
      </w:r>
      <w:r w:rsidRPr="00570FB9">
        <w:rPr>
          <w:sz w:val="28"/>
          <w:szCs w:val="28"/>
        </w:rPr>
        <w:t>в</w:t>
      </w:r>
      <w:r w:rsidRPr="00570FB9">
        <w:rPr>
          <w:sz w:val="28"/>
          <w:szCs w:val="28"/>
        </w:rPr>
        <w:t>ляется дальнейшее продолжение проведения взвешенной и продуманной п</w:t>
      </w:r>
      <w:r w:rsidRPr="00570FB9">
        <w:rPr>
          <w:sz w:val="28"/>
          <w:szCs w:val="28"/>
        </w:rPr>
        <w:t>о</w:t>
      </w:r>
      <w:r w:rsidRPr="00570FB9">
        <w:rPr>
          <w:sz w:val="28"/>
          <w:szCs w:val="28"/>
        </w:rPr>
        <w:t xml:space="preserve">литики по недопущению необоснованного увеличения долговой нагрузки, а также своевременное </w:t>
      </w:r>
      <w:r>
        <w:rPr>
          <w:sz w:val="28"/>
          <w:szCs w:val="28"/>
        </w:rPr>
        <w:t xml:space="preserve">и полное </w:t>
      </w:r>
      <w:r w:rsidRPr="00570FB9">
        <w:rPr>
          <w:sz w:val="28"/>
          <w:szCs w:val="28"/>
        </w:rPr>
        <w:t xml:space="preserve">исполнение обязательств и условий, принятых Республикой Татарстан в рамках </w:t>
      </w:r>
      <w:r>
        <w:rPr>
          <w:sz w:val="28"/>
          <w:szCs w:val="28"/>
        </w:rPr>
        <w:t xml:space="preserve">осуществления </w:t>
      </w:r>
      <w:r w:rsidRPr="00570FB9">
        <w:rPr>
          <w:sz w:val="28"/>
          <w:szCs w:val="28"/>
        </w:rPr>
        <w:t>реструктуризации долговых обязательств перед федеральным бюджетом</w:t>
      </w:r>
      <w:r w:rsidRPr="00EE7F6B">
        <w:rPr>
          <w:sz w:val="28"/>
          <w:szCs w:val="28"/>
        </w:rPr>
        <w:t xml:space="preserve"> </w:t>
      </w:r>
      <w:r w:rsidRPr="00570FB9">
        <w:rPr>
          <w:sz w:val="28"/>
          <w:szCs w:val="28"/>
        </w:rPr>
        <w:t>по ранее предоставленным Ре</w:t>
      </w:r>
      <w:r w:rsidRPr="00570FB9">
        <w:rPr>
          <w:sz w:val="28"/>
          <w:szCs w:val="28"/>
        </w:rPr>
        <w:t>с</w:t>
      </w:r>
      <w:r w:rsidRPr="00570FB9">
        <w:rPr>
          <w:sz w:val="28"/>
          <w:szCs w:val="28"/>
        </w:rPr>
        <w:t>публике Татарстан бюджетным кредитам.</w:t>
      </w:r>
      <w:proofErr w:type="gramEnd"/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lastRenderedPageBreak/>
        <w:t xml:space="preserve">Основным подходом при этом продолжит оставаться </w:t>
      </w:r>
      <w:r>
        <w:rPr>
          <w:sz w:val="28"/>
          <w:szCs w:val="28"/>
        </w:rPr>
        <w:t>отказ от привлеч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Pr="00570FB9">
        <w:rPr>
          <w:sz w:val="28"/>
          <w:szCs w:val="28"/>
        </w:rPr>
        <w:t>средств на финансовом рынке путем осуществления облигационных за</w:t>
      </w:r>
      <w:r w:rsidRPr="00570FB9">
        <w:rPr>
          <w:sz w:val="28"/>
          <w:szCs w:val="28"/>
        </w:rPr>
        <w:t>й</w:t>
      </w:r>
      <w:r w:rsidRPr="00570FB9">
        <w:rPr>
          <w:sz w:val="28"/>
          <w:szCs w:val="28"/>
        </w:rPr>
        <w:t>мов и кредитов от кредитных организаций.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 xml:space="preserve">В целях улучшения ликвидности бюджета, для безусловного исполнения, прежде всего, социальных обязательств, как и в предыдущие годы, </w:t>
      </w:r>
      <w:r>
        <w:rPr>
          <w:sz w:val="28"/>
          <w:szCs w:val="28"/>
        </w:rPr>
        <w:t>при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никновении необходимости может быть</w:t>
      </w:r>
      <w:r w:rsidRPr="00570FB9">
        <w:rPr>
          <w:sz w:val="28"/>
          <w:szCs w:val="28"/>
        </w:rPr>
        <w:t xml:space="preserve"> рассм</w:t>
      </w:r>
      <w:r>
        <w:rPr>
          <w:sz w:val="28"/>
          <w:szCs w:val="28"/>
        </w:rPr>
        <w:t>отрена</w:t>
      </w:r>
      <w:r w:rsidRPr="00570FB9">
        <w:rPr>
          <w:sz w:val="28"/>
          <w:szCs w:val="28"/>
        </w:rPr>
        <w:t xml:space="preserve"> возможность привлеч</w:t>
      </w:r>
      <w:r w:rsidRPr="00570FB9">
        <w:rPr>
          <w:sz w:val="28"/>
          <w:szCs w:val="28"/>
        </w:rPr>
        <w:t>е</w:t>
      </w:r>
      <w:r w:rsidRPr="00570FB9">
        <w:rPr>
          <w:sz w:val="28"/>
          <w:szCs w:val="28"/>
        </w:rPr>
        <w:t>ния из федерального бюджета краткосрочных кредитов на пополнение оста</w:t>
      </w:r>
      <w:r w:rsidRPr="00570FB9">
        <w:rPr>
          <w:sz w:val="28"/>
          <w:szCs w:val="28"/>
        </w:rPr>
        <w:t>т</w:t>
      </w:r>
      <w:r w:rsidRPr="00570FB9">
        <w:rPr>
          <w:sz w:val="28"/>
          <w:szCs w:val="28"/>
        </w:rPr>
        <w:t>ков средств на счетах бюджета Республики Татарстан в пределах финансов</w:t>
      </w:r>
      <w:r w:rsidRPr="00570FB9">
        <w:rPr>
          <w:sz w:val="28"/>
          <w:szCs w:val="28"/>
        </w:rPr>
        <w:t>о</w:t>
      </w:r>
      <w:r w:rsidRPr="00570FB9">
        <w:rPr>
          <w:sz w:val="28"/>
          <w:szCs w:val="28"/>
        </w:rPr>
        <w:t>го года.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570FB9">
        <w:rPr>
          <w:sz w:val="28"/>
          <w:szCs w:val="28"/>
        </w:rPr>
        <w:t xml:space="preserve">Необходимо также продолжать осуществление жесткого </w:t>
      </w:r>
      <w:proofErr w:type="gramStart"/>
      <w:r w:rsidRPr="00570FB9">
        <w:rPr>
          <w:sz w:val="28"/>
          <w:szCs w:val="28"/>
        </w:rPr>
        <w:t>контроля за</w:t>
      </w:r>
      <w:proofErr w:type="gramEnd"/>
      <w:r w:rsidRPr="00570FB9">
        <w:rPr>
          <w:sz w:val="28"/>
          <w:szCs w:val="28"/>
        </w:rPr>
        <w:t xml:space="preserve"> объемом обязательств по предоставленным государственным гарантиям.</w:t>
      </w:r>
    </w:p>
    <w:p w:rsidR="005C2FCD" w:rsidRPr="00570FB9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5C2FCD" w:rsidRPr="006553C4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proofErr w:type="gramStart"/>
      <w:r w:rsidRPr="006553C4">
        <w:rPr>
          <w:sz w:val="28"/>
          <w:szCs w:val="28"/>
        </w:rPr>
        <w:t>Проводимая бюджетная политика в предстоящий трехлетний период 2019 – 2021 годов должна обеспечить сбалансированность и устойчивость консолидированного бюджета Республики Татарстан с сохранением дефицита бюджета на допустимом</w:t>
      </w:r>
      <w:r>
        <w:rPr>
          <w:sz w:val="28"/>
          <w:szCs w:val="28"/>
        </w:rPr>
        <w:t xml:space="preserve"> уровне в соответствии с бюджетным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и обязательствами, принятыми перед Министерством финансов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</w:t>
      </w:r>
      <w:r w:rsidRPr="00EE7F6B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рес</w:t>
      </w:r>
      <w:r w:rsidRPr="00570FB9">
        <w:rPr>
          <w:sz w:val="28"/>
          <w:szCs w:val="28"/>
        </w:rPr>
        <w:t>труктуризации обязательств по бюджетным кредитам</w:t>
      </w:r>
      <w:r>
        <w:rPr>
          <w:sz w:val="28"/>
          <w:szCs w:val="28"/>
        </w:rPr>
        <w:t xml:space="preserve">, </w:t>
      </w:r>
      <w:r w:rsidRPr="006553C4">
        <w:rPr>
          <w:sz w:val="28"/>
          <w:szCs w:val="28"/>
        </w:rPr>
        <w:t>с ориентацией на полное обеспечение расходных потребностей за счет собственных источников финансирования.</w:t>
      </w:r>
      <w:proofErr w:type="gramEnd"/>
      <w:r w:rsidRPr="006553C4">
        <w:rPr>
          <w:sz w:val="28"/>
          <w:szCs w:val="28"/>
        </w:rPr>
        <w:t xml:space="preserve"> Планируется сохранить соо</w:t>
      </w:r>
      <w:r w:rsidRPr="006553C4">
        <w:rPr>
          <w:sz w:val="28"/>
          <w:szCs w:val="28"/>
        </w:rPr>
        <w:t>т</w:t>
      </w:r>
      <w:r w:rsidRPr="006553C4">
        <w:rPr>
          <w:sz w:val="28"/>
          <w:szCs w:val="28"/>
        </w:rPr>
        <w:t>ношение государственного долга Республики Татарстан и налоговых и нен</w:t>
      </w:r>
      <w:r w:rsidRPr="006553C4">
        <w:rPr>
          <w:sz w:val="28"/>
          <w:szCs w:val="28"/>
        </w:rPr>
        <w:t>а</w:t>
      </w:r>
      <w:r w:rsidRPr="006553C4">
        <w:rPr>
          <w:sz w:val="28"/>
          <w:szCs w:val="28"/>
        </w:rPr>
        <w:t xml:space="preserve">логовых доходов бюджета на безопасном уровне с обеспечением устойчивого уровня долговой нагрузки, не превышающего 50 процентов годового объема налоговых и неналоговых доходов бюджета Республики Татарстан. При этом представляется целесообразным обеспечение дальнейшего последовательного снижения данного </w:t>
      </w:r>
      <w:r>
        <w:rPr>
          <w:sz w:val="28"/>
          <w:szCs w:val="28"/>
        </w:rPr>
        <w:t>показателя</w:t>
      </w:r>
      <w:r w:rsidRPr="006553C4">
        <w:rPr>
          <w:sz w:val="28"/>
          <w:szCs w:val="28"/>
        </w:rPr>
        <w:t>.</w:t>
      </w:r>
    </w:p>
    <w:p w:rsidR="005C2FCD" w:rsidRPr="006553C4" w:rsidRDefault="005C2FCD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p w:rsidR="004B4733" w:rsidRPr="006553C4" w:rsidRDefault="004B4733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bookmarkStart w:id="0" w:name="_GoBack"/>
      <w:bookmarkEnd w:id="0"/>
    </w:p>
    <w:sectPr w:rsidR="004B4733" w:rsidRPr="006553C4" w:rsidSect="00BE35ED">
      <w:headerReference w:type="default" r:id="rId9"/>
      <w:pgSz w:w="11906" w:h="16838"/>
      <w:pgMar w:top="993" w:right="85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C3" w:rsidRDefault="00BB41C3" w:rsidP="007F2447">
      <w:r>
        <w:separator/>
      </w:r>
    </w:p>
  </w:endnote>
  <w:endnote w:type="continuationSeparator" w:id="0">
    <w:p w:rsidR="00BB41C3" w:rsidRDefault="00BB41C3" w:rsidP="007F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C3" w:rsidRDefault="00BB41C3" w:rsidP="007F2447">
      <w:r>
        <w:separator/>
      </w:r>
    </w:p>
  </w:footnote>
  <w:footnote w:type="continuationSeparator" w:id="0">
    <w:p w:rsidR="00BB41C3" w:rsidRDefault="00BB41C3" w:rsidP="007F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431327"/>
      <w:docPartObj>
        <w:docPartGallery w:val="Page Numbers (Top of Page)"/>
        <w:docPartUnique/>
      </w:docPartObj>
    </w:sdtPr>
    <w:sdtEndPr/>
    <w:sdtContent>
      <w:p w:rsidR="004366E3" w:rsidRDefault="000C41A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F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5AA"/>
    <w:multiLevelType w:val="hybridMultilevel"/>
    <w:tmpl w:val="15360248"/>
    <w:lvl w:ilvl="0" w:tplc="F224D2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56C2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3F04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347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585D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DAE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F4F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AEB3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88E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91E45"/>
    <w:multiLevelType w:val="hybridMultilevel"/>
    <w:tmpl w:val="F912D0EC"/>
    <w:lvl w:ilvl="0" w:tplc="3A58B7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F74"/>
    <w:rsid w:val="00001EDC"/>
    <w:rsid w:val="00002EA0"/>
    <w:rsid w:val="00011A35"/>
    <w:rsid w:val="00013177"/>
    <w:rsid w:val="0001410F"/>
    <w:rsid w:val="0001426B"/>
    <w:rsid w:val="000143DF"/>
    <w:rsid w:val="00024AA7"/>
    <w:rsid w:val="00034CBC"/>
    <w:rsid w:val="00037D65"/>
    <w:rsid w:val="00037EAB"/>
    <w:rsid w:val="00042ACD"/>
    <w:rsid w:val="00045249"/>
    <w:rsid w:val="0004618C"/>
    <w:rsid w:val="00051474"/>
    <w:rsid w:val="00052154"/>
    <w:rsid w:val="00052167"/>
    <w:rsid w:val="00053284"/>
    <w:rsid w:val="00057656"/>
    <w:rsid w:val="00062E85"/>
    <w:rsid w:val="0006498E"/>
    <w:rsid w:val="0006635E"/>
    <w:rsid w:val="00066D1E"/>
    <w:rsid w:val="0007574E"/>
    <w:rsid w:val="00075F14"/>
    <w:rsid w:val="000825D1"/>
    <w:rsid w:val="0008619A"/>
    <w:rsid w:val="00093177"/>
    <w:rsid w:val="000A04B7"/>
    <w:rsid w:val="000B1986"/>
    <w:rsid w:val="000B2FFC"/>
    <w:rsid w:val="000B6471"/>
    <w:rsid w:val="000C05DA"/>
    <w:rsid w:val="000C2741"/>
    <w:rsid w:val="000C41A8"/>
    <w:rsid w:val="000C7236"/>
    <w:rsid w:val="000D2015"/>
    <w:rsid w:val="000D384E"/>
    <w:rsid w:val="000D5AE2"/>
    <w:rsid w:val="000D7BCA"/>
    <w:rsid w:val="000E7BFF"/>
    <w:rsid w:val="000F2E1B"/>
    <w:rsid w:val="000F7ED1"/>
    <w:rsid w:val="00102B17"/>
    <w:rsid w:val="00110452"/>
    <w:rsid w:val="00113F28"/>
    <w:rsid w:val="00113FF5"/>
    <w:rsid w:val="0011475A"/>
    <w:rsid w:val="00116D67"/>
    <w:rsid w:val="001246AE"/>
    <w:rsid w:val="00124D71"/>
    <w:rsid w:val="00126EF9"/>
    <w:rsid w:val="001426BC"/>
    <w:rsid w:val="001461DC"/>
    <w:rsid w:val="00146710"/>
    <w:rsid w:val="00150665"/>
    <w:rsid w:val="00150AFB"/>
    <w:rsid w:val="00160A39"/>
    <w:rsid w:val="00162C4A"/>
    <w:rsid w:val="001670FC"/>
    <w:rsid w:val="001737F0"/>
    <w:rsid w:val="0018626B"/>
    <w:rsid w:val="00191AA5"/>
    <w:rsid w:val="001973A4"/>
    <w:rsid w:val="00197A25"/>
    <w:rsid w:val="001A562E"/>
    <w:rsid w:val="001B315A"/>
    <w:rsid w:val="001B6FE3"/>
    <w:rsid w:val="001C15F2"/>
    <w:rsid w:val="001D3856"/>
    <w:rsid w:val="001D55DA"/>
    <w:rsid w:val="001D5C01"/>
    <w:rsid w:val="001D6A01"/>
    <w:rsid w:val="001D6F8C"/>
    <w:rsid w:val="001D7CB5"/>
    <w:rsid w:val="001F4DD6"/>
    <w:rsid w:val="00201939"/>
    <w:rsid w:val="00210DEB"/>
    <w:rsid w:val="002139C9"/>
    <w:rsid w:val="00215B94"/>
    <w:rsid w:val="002235C7"/>
    <w:rsid w:val="0022438A"/>
    <w:rsid w:val="0022746E"/>
    <w:rsid w:val="0023071B"/>
    <w:rsid w:val="00236C59"/>
    <w:rsid w:val="002422F4"/>
    <w:rsid w:val="00252C00"/>
    <w:rsid w:val="00254D51"/>
    <w:rsid w:val="00262323"/>
    <w:rsid w:val="002769D4"/>
    <w:rsid w:val="002A12C1"/>
    <w:rsid w:val="002A2DCB"/>
    <w:rsid w:val="002A2FB6"/>
    <w:rsid w:val="002A3C81"/>
    <w:rsid w:val="002A6A0F"/>
    <w:rsid w:val="002A76D9"/>
    <w:rsid w:val="002B34EF"/>
    <w:rsid w:val="002B4C40"/>
    <w:rsid w:val="002C223A"/>
    <w:rsid w:val="002D2866"/>
    <w:rsid w:val="002D6D61"/>
    <w:rsid w:val="002D7D37"/>
    <w:rsid w:val="002F3440"/>
    <w:rsid w:val="002F5957"/>
    <w:rsid w:val="002F59B9"/>
    <w:rsid w:val="003005EA"/>
    <w:rsid w:val="003038BE"/>
    <w:rsid w:val="003055CB"/>
    <w:rsid w:val="00311902"/>
    <w:rsid w:val="00320324"/>
    <w:rsid w:val="0032098E"/>
    <w:rsid w:val="00322A0F"/>
    <w:rsid w:val="0032376E"/>
    <w:rsid w:val="00324261"/>
    <w:rsid w:val="003253BF"/>
    <w:rsid w:val="00331812"/>
    <w:rsid w:val="003325CE"/>
    <w:rsid w:val="00337278"/>
    <w:rsid w:val="003401FF"/>
    <w:rsid w:val="0035415D"/>
    <w:rsid w:val="003544FF"/>
    <w:rsid w:val="00354DC4"/>
    <w:rsid w:val="00357F66"/>
    <w:rsid w:val="0036386B"/>
    <w:rsid w:val="00363C1D"/>
    <w:rsid w:val="00371BCB"/>
    <w:rsid w:val="00374608"/>
    <w:rsid w:val="00374957"/>
    <w:rsid w:val="0037639A"/>
    <w:rsid w:val="003773A0"/>
    <w:rsid w:val="003823D0"/>
    <w:rsid w:val="00385916"/>
    <w:rsid w:val="00390E22"/>
    <w:rsid w:val="003A14C9"/>
    <w:rsid w:val="003A6150"/>
    <w:rsid w:val="003A6178"/>
    <w:rsid w:val="003B2F5E"/>
    <w:rsid w:val="003B74AD"/>
    <w:rsid w:val="003C6828"/>
    <w:rsid w:val="003C7C29"/>
    <w:rsid w:val="003E0B13"/>
    <w:rsid w:val="003E0D98"/>
    <w:rsid w:val="003F13E5"/>
    <w:rsid w:val="003F616E"/>
    <w:rsid w:val="003F6DF7"/>
    <w:rsid w:val="003F6E07"/>
    <w:rsid w:val="00402AA8"/>
    <w:rsid w:val="004114AD"/>
    <w:rsid w:val="00413475"/>
    <w:rsid w:val="00413D19"/>
    <w:rsid w:val="00415119"/>
    <w:rsid w:val="00416940"/>
    <w:rsid w:val="004256BC"/>
    <w:rsid w:val="004365D9"/>
    <w:rsid w:val="004366E3"/>
    <w:rsid w:val="00442796"/>
    <w:rsid w:val="0044321C"/>
    <w:rsid w:val="00443419"/>
    <w:rsid w:val="00445861"/>
    <w:rsid w:val="00446475"/>
    <w:rsid w:val="00455155"/>
    <w:rsid w:val="004562E8"/>
    <w:rsid w:val="00456807"/>
    <w:rsid w:val="00460DFF"/>
    <w:rsid w:val="0046178D"/>
    <w:rsid w:val="00461CAE"/>
    <w:rsid w:val="004634D0"/>
    <w:rsid w:val="0046489A"/>
    <w:rsid w:val="004652CA"/>
    <w:rsid w:val="00467C14"/>
    <w:rsid w:val="00474287"/>
    <w:rsid w:val="00474678"/>
    <w:rsid w:val="00477F08"/>
    <w:rsid w:val="004873E7"/>
    <w:rsid w:val="00490522"/>
    <w:rsid w:val="0049161B"/>
    <w:rsid w:val="0049232C"/>
    <w:rsid w:val="0049550C"/>
    <w:rsid w:val="00496DD5"/>
    <w:rsid w:val="00497507"/>
    <w:rsid w:val="004A2D8C"/>
    <w:rsid w:val="004A57FC"/>
    <w:rsid w:val="004B40B7"/>
    <w:rsid w:val="004B4733"/>
    <w:rsid w:val="004B6C1D"/>
    <w:rsid w:val="004C0BFD"/>
    <w:rsid w:val="004C1EDF"/>
    <w:rsid w:val="004D4D5E"/>
    <w:rsid w:val="004D4FE1"/>
    <w:rsid w:val="004E44F0"/>
    <w:rsid w:val="004E7786"/>
    <w:rsid w:val="004F1899"/>
    <w:rsid w:val="004F6487"/>
    <w:rsid w:val="0050388A"/>
    <w:rsid w:val="00505A23"/>
    <w:rsid w:val="00506CE2"/>
    <w:rsid w:val="0051513B"/>
    <w:rsid w:val="00520755"/>
    <w:rsid w:val="00520BF3"/>
    <w:rsid w:val="0052309F"/>
    <w:rsid w:val="00530636"/>
    <w:rsid w:val="005359F9"/>
    <w:rsid w:val="0054221A"/>
    <w:rsid w:val="00547CD3"/>
    <w:rsid w:val="005500A2"/>
    <w:rsid w:val="005500FB"/>
    <w:rsid w:val="005510F8"/>
    <w:rsid w:val="0055519E"/>
    <w:rsid w:val="005620CF"/>
    <w:rsid w:val="0056355A"/>
    <w:rsid w:val="005664D6"/>
    <w:rsid w:val="005725AB"/>
    <w:rsid w:val="005800E2"/>
    <w:rsid w:val="0058488C"/>
    <w:rsid w:val="0058594C"/>
    <w:rsid w:val="00592F2C"/>
    <w:rsid w:val="00594B97"/>
    <w:rsid w:val="005A1E2B"/>
    <w:rsid w:val="005A5F45"/>
    <w:rsid w:val="005A5F74"/>
    <w:rsid w:val="005A7995"/>
    <w:rsid w:val="005A7E6E"/>
    <w:rsid w:val="005B3910"/>
    <w:rsid w:val="005B4FBD"/>
    <w:rsid w:val="005B6D18"/>
    <w:rsid w:val="005C0667"/>
    <w:rsid w:val="005C2C9B"/>
    <w:rsid w:val="005C2EED"/>
    <w:rsid w:val="005C2FCD"/>
    <w:rsid w:val="005C31EC"/>
    <w:rsid w:val="005C6F2A"/>
    <w:rsid w:val="005C6F5D"/>
    <w:rsid w:val="005C70E4"/>
    <w:rsid w:val="005D3B40"/>
    <w:rsid w:val="005D55E8"/>
    <w:rsid w:val="005D57DA"/>
    <w:rsid w:val="005E2EBD"/>
    <w:rsid w:val="005E4DB1"/>
    <w:rsid w:val="005E7253"/>
    <w:rsid w:val="005F25FF"/>
    <w:rsid w:val="005F4243"/>
    <w:rsid w:val="00601C31"/>
    <w:rsid w:val="00602115"/>
    <w:rsid w:val="00607F53"/>
    <w:rsid w:val="00611492"/>
    <w:rsid w:val="006179D3"/>
    <w:rsid w:val="00620C04"/>
    <w:rsid w:val="00622823"/>
    <w:rsid w:val="00625E3B"/>
    <w:rsid w:val="00630BBF"/>
    <w:rsid w:val="0063107A"/>
    <w:rsid w:val="00631590"/>
    <w:rsid w:val="006325DE"/>
    <w:rsid w:val="0064368A"/>
    <w:rsid w:val="00646ECD"/>
    <w:rsid w:val="00655EC0"/>
    <w:rsid w:val="006667F2"/>
    <w:rsid w:val="00667B20"/>
    <w:rsid w:val="0068003A"/>
    <w:rsid w:val="006832B5"/>
    <w:rsid w:val="006919F6"/>
    <w:rsid w:val="00692328"/>
    <w:rsid w:val="00694B22"/>
    <w:rsid w:val="00696C21"/>
    <w:rsid w:val="006A15EC"/>
    <w:rsid w:val="006A2E97"/>
    <w:rsid w:val="006A4638"/>
    <w:rsid w:val="006A728C"/>
    <w:rsid w:val="006B0AE5"/>
    <w:rsid w:val="006B29BA"/>
    <w:rsid w:val="006B320E"/>
    <w:rsid w:val="006B338A"/>
    <w:rsid w:val="006B373D"/>
    <w:rsid w:val="006B5551"/>
    <w:rsid w:val="006B60CA"/>
    <w:rsid w:val="006B6B1C"/>
    <w:rsid w:val="006D5B9B"/>
    <w:rsid w:val="006E1F24"/>
    <w:rsid w:val="006E59E7"/>
    <w:rsid w:val="006E6648"/>
    <w:rsid w:val="0070030E"/>
    <w:rsid w:val="0071039F"/>
    <w:rsid w:val="00710D54"/>
    <w:rsid w:val="00711283"/>
    <w:rsid w:val="00711AA6"/>
    <w:rsid w:val="007132E4"/>
    <w:rsid w:val="0071606F"/>
    <w:rsid w:val="007201DA"/>
    <w:rsid w:val="00720C3F"/>
    <w:rsid w:val="00723A95"/>
    <w:rsid w:val="00726348"/>
    <w:rsid w:val="007264E7"/>
    <w:rsid w:val="0073340B"/>
    <w:rsid w:val="00752F1F"/>
    <w:rsid w:val="00756B4A"/>
    <w:rsid w:val="00757518"/>
    <w:rsid w:val="007575AF"/>
    <w:rsid w:val="00762E02"/>
    <w:rsid w:val="00766435"/>
    <w:rsid w:val="007748C9"/>
    <w:rsid w:val="00775773"/>
    <w:rsid w:val="0077700D"/>
    <w:rsid w:val="00781D9D"/>
    <w:rsid w:val="00782D70"/>
    <w:rsid w:val="007873AA"/>
    <w:rsid w:val="00793985"/>
    <w:rsid w:val="00794160"/>
    <w:rsid w:val="00794657"/>
    <w:rsid w:val="007A1D09"/>
    <w:rsid w:val="007A66C0"/>
    <w:rsid w:val="007A69EA"/>
    <w:rsid w:val="007B3FE3"/>
    <w:rsid w:val="007B5B22"/>
    <w:rsid w:val="007C04CF"/>
    <w:rsid w:val="007D07D4"/>
    <w:rsid w:val="007D0F59"/>
    <w:rsid w:val="007D3D8A"/>
    <w:rsid w:val="007E281F"/>
    <w:rsid w:val="007E4C1D"/>
    <w:rsid w:val="007F2447"/>
    <w:rsid w:val="007F5788"/>
    <w:rsid w:val="007F643F"/>
    <w:rsid w:val="007F762F"/>
    <w:rsid w:val="00803783"/>
    <w:rsid w:val="008112AE"/>
    <w:rsid w:val="00813B20"/>
    <w:rsid w:val="00815847"/>
    <w:rsid w:val="00823083"/>
    <w:rsid w:val="008300EB"/>
    <w:rsid w:val="008324BE"/>
    <w:rsid w:val="008371DA"/>
    <w:rsid w:val="00841FE5"/>
    <w:rsid w:val="00843F46"/>
    <w:rsid w:val="008478C0"/>
    <w:rsid w:val="00847ED2"/>
    <w:rsid w:val="0085028A"/>
    <w:rsid w:val="00850BA4"/>
    <w:rsid w:val="00853E87"/>
    <w:rsid w:val="008559B1"/>
    <w:rsid w:val="00855CE6"/>
    <w:rsid w:val="008615C6"/>
    <w:rsid w:val="0086495D"/>
    <w:rsid w:val="008708BF"/>
    <w:rsid w:val="00870DE8"/>
    <w:rsid w:val="008717C5"/>
    <w:rsid w:val="00876384"/>
    <w:rsid w:val="00877C62"/>
    <w:rsid w:val="00890910"/>
    <w:rsid w:val="008953AC"/>
    <w:rsid w:val="008C08AA"/>
    <w:rsid w:val="008C2749"/>
    <w:rsid w:val="008D0534"/>
    <w:rsid w:val="008D2CED"/>
    <w:rsid w:val="008D46E5"/>
    <w:rsid w:val="008D62EA"/>
    <w:rsid w:val="008E086E"/>
    <w:rsid w:val="008E1056"/>
    <w:rsid w:val="00901CCB"/>
    <w:rsid w:val="009028FB"/>
    <w:rsid w:val="00903F51"/>
    <w:rsid w:val="0090421F"/>
    <w:rsid w:val="009075A3"/>
    <w:rsid w:val="0090763F"/>
    <w:rsid w:val="009115FF"/>
    <w:rsid w:val="00917911"/>
    <w:rsid w:val="00925610"/>
    <w:rsid w:val="00925F09"/>
    <w:rsid w:val="0093752B"/>
    <w:rsid w:val="0093784B"/>
    <w:rsid w:val="00940C43"/>
    <w:rsid w:val="0094193D"/>
    <w:rsid w:val="00950586"/>
    <w:rsid w:val="00950ADF"/>
    <w:rsid w:val="0095148B"/>
    <w:rsid w:val="0095162C"/>
    <w:rsid w:val="009548DD"/>
    <w:rsid w:val="00954DE9"/>
    <w:rsid w:val="009611B9"/>
    <w:rsid w:val="00963768"/>
    <w:rsid w:val="00972B5A"/>
    <w:rsid w:val="0098089E"/>
    <w:rsid w:val="0098214C"/>
    <w:rsid w:val="00984360"/>
    <w:rsid w:val="00984E96"/>
    <w:rsid w:val="00992149"/>
    <w:rsid w:val="00993DDD"/>
    <w:rsid w:val="009A74B9"/>
    <w:rsid w:val="009B12C9"/>
    <w:rsid w:val="009B32B4"/>
    <w:rsid w:val="009B32B6"/>
    <w:rsid w:val="009B3F8D"/>
    <w:rsid w:val="009B59F6"/>
    <w:rsid w:val="009C23D3"/>
    <w:rsid w:val="009C71A6"/>
    <w:rsid w:val="009C72A5"/>
    <w:rsid w:val="009D7FA9"/>
    <w:rsid w:val="009E2AAC"/>
    <w:rsid w:val="009E5F0F"/>
    <w:rsid w:val="009F4281"/>
    <w:rsid w:val="009F775C"/>
    <w:rsid w:val="00A006DC"/>
    <w:rsid w:val="00A01FBC"/>
    <w:rsid w:val="00A03A36"/>
    <w:rsid w:val="00A05831"/>
    <w:rsid w:val="00A05BC2"/>
    <w:rsid w:val="00A07D10"/>
    <w:rsid w:val="00A10024"/>
    <w:rsid w:val="00A16524"/>
    <w:rsid w:val="00A247C7"/>
    <w:rsid w:val="00A25AFF"/>
    <w:rsid w:val="00A2629B"/>
    <w:rsid w:val="00A32124"/>
    <w:rsid w:val="00A3433B"/>
    <w:rsid w:val="00A42AC1"/>
    <w:rsid w:val="00A44542"/>
    <w:rsid w:val="00A45554"/>
    <w:rsid w:val="00A527DB"/>
    <w:rsid w:val="00A53138"/>
    <w:rsid w:val="00A55341"/>
    <w:rsid w:val="00A626C4"/>
    <w:rsid w:val="00A70E9F"/>
    <w:rsid w:val="00A71995"/>
    <w:rsid w:val="00A729BF"/>
    <w:rsid w:val="00A754A7"/>
    <w:rsid w:val="00A80046"/>
    <w:rsid w:val="00A877FA"/>
    <w:rsid w:val="00A90E28"/>
    <w:rsid w:val="00AA655D"/>
    <w:rsid w:val="00AA67AC"/>
    <w:rsid w:val="00AA73DB"/>
    <w:rsid w:val="00AB0BBE"/>
    <w:rsid w:val="00AB276F"/>
    <w:rsid w:val="00AB36B0"/>
    <w:rsid w:val="00AB3C4B"/>
    <w:rsid w:val="00AB3DB8"/>
    <w:rsid w:val="00AB43AC"/>
    <w:rsid w:val="00AC49BC"/>
    <w:rsid w:val="00AC6B13"/>
    <w:rsid w:val="00AC73B6"/>
    <w:rsid w:val="00AC7ABB"/>
    <w:rsid w:val="00AD76E4"/>
    <w:rsid w:val="00AD794C"/>
    <w:rsid w:val="00AE0A55"/>
    <w:rsid w:val="00AF17EF"/>
    <w:rsid w:val="00AF1E2A"/>
    <w:rsid w:val="00AF540A"/>
    <w:rsid w:val="00B1350C"/>
    <w:rsid w:val="00B13F45"/>
    <w:rsid w:val="00B1579C"/>
    <w:rsid w:val="00B2231F"/>
    <w:rsid w:val="00B2557F"/>
    <w:rsid w:val="00B27751"/>
    <w:rsid w:val="00B30816"/>
    <w:rsid w:val="00B33AF6"/>
    <w:rsid w:val="00B35E03"/>
    <w:rsid w:val="00B4271D"/>
    <w:rsid w:val="00B45387"/>
    <w:rsid w:val="00B47B21"/>
    <w:rsid w:val="00B51E1B"/>
    <w:rsid w:val="00B54954"/>
    <w:rsid w:val="00B62AF7"/>
    <w:rsid w:val="00B658C0"/>
    <w:rsid w:val="00B65A55"/>
    <w:rsid w:val="00B66A07"/>
    <w:rsid w:val="00B673D4"/>
    <w:rsid w:val="00B67F09"/>
    <w:rsid w:val="00B77414"/>
    <w:rsid w:val="00B8170B"/>
    <w:rsid w:val="00B82426"/>
    <w:rsid w:val="00B84512"/>
    <w:rsid w:val="00B86206"/>
    <w:rsid w:val="00B93832"/>
    <w:rsid w:val="00B94140"/>
    <w:rsid w:val="00BA3F90"/>
    <w:rsid w:val="00BA73FC"/>
    <w:rsid w:val="00BB2DA0"/>
    <w:rsid w:val="00BB41C3"/>
    <w:rsid w:val="00BB4EF5"/>
    <w:rsid w:val="00BB7B1E"/>
    <w:rsid w:val="00BC2C38"/>
    <w:rsid w:val="00BC51D4"/>
    <w:rsid w:val="00BD2D19"/>
    <w:rsid w:val="00BD3FF0"/>
    <w:rsid w:val="00BD7C9D"/>
    <w:rsid w:val="00BE1895"/>
    <w:rsid w:val="00BE2213"/>
    <w:rsid w:val="00BE35ED"/>
    <w:rsid w:val="00BE5CF3"/>
    <w:rsid w:val="00BF099B"/>
    <w:rsid w:val="00C00195"/>
    <w:rsid w:val="00C05B6D"/>
    <w:rsid w:val="00C06810"/>
    <w:rsid w:val="00C06F20"/>
    <w:rsid w:val="00C10FD6"/>
    <w:rsid w:val="00C13744"/>
    <w:rsid w:val="00C22EEB"/>
    <w:rsid w:val="00C237E9"/>
    <w:rsid w:val="00C25554"/>
    <w:rsid w:val="00C3299C"/>
    <w:rsid w:val="00C352A4"/>
    <w:rsid w:val="00C36852"/>
    <w:rsid w:val="00C44D98"/>
    <w:rsid w:val="00C45B4E"/>
    <w:rsid w:val="00C54212"/>
    <w:rsid w:val="00C60753"/>
    <w:rsid w:val="00C6100E"/>
    <w:rsid w:val="00C64CB9"/>
    <w:rsid w:val="00C663BD"/>
    <w:rsid w:val="00C66EC5"/>
    <w:rsid w:val="00C71A93"/>
    <w:rsid w:val="00C77BCB"/>
    <w:rsid w:val="00C81B7A"/>
    <w:rsid w:val="00C834B9"/>
    <w:rsid w:val="00C916D3"/>
    <w:rsid w:val="00C97B8A"/>
    <w:rsid w:val="00CA3EF0"/>
    <w:rsid w:val="00CA549C"/>
    <w:rsid w:val="00CB167B"/>
    <w:rsid w:val="00CB3D27"/>
    <w:rsid w:val="00CB598A"/>
    <w:rsid w:val="00CB6BF9"/>
    <w:rsid w:val="00CE1D6C"/>
    <w:rsid w:val="00CE7642"/>
    <w:rsid w:val="00CF1DFE"/>
    <w:rsid w:val="00D020BC"/>
    <w:rsid w:val="00D02242"/>
    <w:rsid w:val="00D05111"/>
    <w:rsid w:val="00D17126"/>
    <w:rsid w:val="00D177B7"/>
    <w:rsid w:val="00D222B2"/>
    <w:rsid w:val="00D24476"/>
    <w:rsid w:val="00D32438"/>
    <w:rsid w:val="00D355EE"/>
    <w:rsid w:val="00D405FF"/>
    <w:rsid w:val="00D4732A"/>
    <w:rsid w:val="00D47B83"/>
    <w:rsid w:val="00D5007B"/>
    <w:rsid w:val="00D56A26"/>
    <w:rsid w:val="00D56BB1"/>
    <w:rsid w:val="00D71981"/>
    <w:rsid w:val="00D743AB"/>
    <w:rsid w:val="00D75F75"/>
    <w:rsid w:val="00D77A27"/>
    <w:rsid w:val="00D84897"/>
    <w:rsid w:val="00D861D6"/>
    <w:rsid w:val="00D903EC"/>
    <w:rsid w:val="00D9187A"/>
    <w:rsid w:val="00DA54B1"/>
    <w:rsid w:val="00DA5F0E"/>
    <w:rsid w:val="00DB078C"/>
    <w:rsid w:val="00DB1D71"/>
    <w:rsid w:val="00DB367B"/>
    <w:rsid w:val="00DB6948"/>
    <w:rsid w:val="00DB6C54"/>
    <w:rsid w:val="00DC04EF"/>
    <w:rsid w:val="00DC0B0D"/>
    <w:rsid w:val="00DC14B4"/>
    <w:rsid w:val="00DC1EDD"/>
    <w:rsid w:val="00DD1199"/>
    <w:rsid w:val="00DE513F"/>
    <w:rsid w:val="00DE7268"/>
    <w:rsid w:val="00DF5EE3"/>
    <w:rsid w:val="00DF6FF1"/>
    <w:rsid w:val="00E00E24"/>
    <w:rsid w:val="00E04190"/>
    <w:rsid w:val="00E15CD0"/>
    <w:rsid w:val="00E2239D"/>
    <w:rsid w:val="00E24571"/>
    <w:rsid w:val="00E26FA2"/>
    <w:rsid w:val="00E27067"/>
    <w:rsid w:val="00E277D9"/>
    <w:rsid w:val="00E3125C"/>
    <w:rsid w:val="00E35B4F"/>
    <w:rsid w:val="00E35DBB"/>
    <w:rsid w:val="00E418E2"/>
    <w:rsid w:val="00E42D19"/>
    <w:rsid w:val="00E44058"/>
    <w:rsid w:val="00E51536"/>
    <w:rsid w:val="00E5447B"/>
    <w:rsid w:val="00E6109F"/>
    <w:rsid w:val="00E67CF8"/>
    <w:rsid w:val="00E72D67"/>
    <w:rsid w:val="00E763D9"/>
    <w:rsid w:val="00E92C49"/>
    <w:rsid w:val="00E95EF5"/>
    <w:rsid w:val="00EA7242"/>
    <w:rsid w:val="00EB23F1"/>
    <w:rsid w:val="00EC354C"/>
    <w:rsid w:val="00EC5DE8"/>
    <w:rsid w:val="00EC681F"/>
    <w:rsid w:val="00EC7C51"/>
    <w:rsid w:val="00EC7CC6"/>
    <w:rsid w:val="00ED130A"/>
    <w:rsid w:val="00ED3B58"/>
    <w:rsid w:val="00ED6013"/>
    <w:rsid w:val="00EE33CA"/>
    <w:rsid w:val="00EE3BC0"/>
    <w:rsid w:val="00EE3CE6"/>
    <w:rsid w:val="00EE642A"/>
    <w:rsid w:val="00EF0FB6"/>
    <w:rsid w:val="00EF4DBB"/>
    <w:rsid w:val="00F00165"/>
    <w:rsid w:val="00F029EC"/>
    <w:rsid w:val="00F074DE"/>
    <w:rsid w:val="00F13B6B"/>
    <w:rsid w:val="00F212AE"/>
    <w:rsid w:val="00F2738D"/>
    <w:rsid w:val="00F3039F"/>
    <w:rsid w:val="00F47FA8"/>
    <w:rsid w:val="00F56CED"/>
    <w:rsid w:val="00F61389"/>
    <w:rsid w:val="00F6763C"/>
    <w:rsid w:val="00F729C9"/>
    <w:rsid w:val="00F74952"/>
    <w:rsid w:val="00F87BB6"/>
    <w:rsid w:val="00F93C8C"/>
    <w:rsid w:val="00F95C74"/>
    <w:rsid w:val="00F96808"/>
    <w:rsid w:val="00FA304B"/>
    <w:rsid w:val="00FA4F76"/>
    <w:rsid w:val="00FA6C3A"/>
    <w:rsid w:val="00FB4B77"/>
    <w:rsid w:val="00FC1090"/>
    <w:rsid w:val="00FC152B"/>
    <w:rsid w:val="00FC7E62"/>
    <w:rsid w:val="00FD3D16"/>
    <w:rsid w:val="00FD5914"/>
    <w:rsid w:val="00FE3819"/>
    <w:rsid w:val="00FE6138"/>
    <w:rsid w:val="00FE6671"/>
    <w:rsid w:val="00FF1680"/>
    <w:rsid w:val="00FF16D7"/>
    <w:rsid w:val="00FF6425"/>
    <w:rsid w:val="00FF6605"/>
    <w:rsid w:val="00FF6A26"/>
    <w:rsid w:val="00FF6D6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74"/>
    <w:pPr>
      <w:jc w:val="left"/>
    </w:pPr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5F7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A5F74"/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5A5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5A5F74"/>
    <w:rPr>
      <w:b/>
      <w:bCs/>
    </w:rPr>
  </w:style>
  <w:style w:type="paragraph" w:styleId="a7">
    <w:name w:val="header"/>
    <w:basedOn w:val="a"/>
    <w:link w:val="a8"/>
    <w:uiPriority w:val="99"/>
    <w:unhideWhenUsed/>
    <w:rsid w:val="005A5F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5F74"/>
    <w:rPr>
      <w:rFonts w:eastAsia="MS Mincho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B2D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DA0"/>
    <w:rPr>
      <w:rFonts w:ascii="Tahoma" w:eastAsia="MS Mincho" w:hAnsi="Tahoma" w:cs="Tahoma"/>
      <w:sz w:val="16"/>
      <w:szCs w:val="16"/>
      <w:lang w:eastAsia="ja-JP"/>
    </w:rPr>
  </w:style>
  <w:style w:type="paragraph" w:styleId="ab">
    <w:name w:val="Body Text"/>
    <w:basedOn w:val="a"/>
    <w:link w:val="ac"/>
    <w:uiPriority w:val="99"/>
    <w:semiHidden/>
    <w:unhideWhenUsed/>
    <w:rsid w:val="004C0BF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C0BFD"/>
    <w:rPr>
      <w:rFonts w:eastAsia="MS Mincho"/>
      <w:sz w:val="24"/>
      <w:szCs w:val="24"/>
      <w:lang w:eastAsia="ja-JP"/>
    </w:rPr>
  </w:style>
  <w:style w:type="paragraph" w:customStyle="1" w:styleId="ad">
    <w:name w:val="ЭЭГ"/>
    <w:basedOn w:val="a"/>
    <w:rsid w:val="004C0BFD"/>
    <w:pPr>
      <w:spacing w:line="360" w:lineRule="auto"/>
      <w:ind w:firstLine="720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4C0BFD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0BFD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1">
    <w:name w:val="Ñòèëü1"/>
    <w:basedOn w:val="a"/>
    <w:link w:val="10"/>
    <w:rsid w:val="009D7FA9"/>
    <w:pPr>
      <w:spacing w:line="288" w:lineRule="auto"/>
    </w:pPr>
    <w:rPr>
      <w:rFonts w:eastAsia="Times New Roman"/>
      <w:sz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72D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72D67"/>
    <w:rPr>
      <w:rFonts w:eastAsia="MS Mincho"/>
      <w:sz w:val="24"/>
      <w:szCs w:val="24"/>
      <w:lang w:eastAsia="ja-JP"/>
    </w:rPr>
  </w:style>
  <w:style w:type="character" w:customStyle="1" w:styleId="10">
    <w:name w:val="Ñòèëü1 Знак"/>
    <w:basedOn w:val="a0"/>
    <w:link w:val="1"/>
    <w:rsid w:val="00E418E2"/>
    <w:rPr>
      <w:rFonts w:eastAsia="Times New Roman"/>
      <w:szCs w:val="24"/>
      <w:lang w:eastAsia="ru-RU"/>
    </w:rPr>
  </w:style>
  <w:style w:type="paragraph" w:styleId="af0">
    <w:name w:val="Normal (Web)"/>
    <w:basedOn w:val="a"/>
    <w:rsid w:val="007A66C0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02A64-8199-41C9-BD32-FF37B323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Алия Загидуллина</cp:lastModifiedBy>
  <cp:revision>4</cp:revision>
  <cp:lastPrinted>2016-09-28T15:06:00Z</cp:lastPrinted>
  <dcterms:created xsi:type="dcterms:W3CDTF">2018-09-17T08:13:00Z</dcterms:created>
  <dcterms:modified xsi:type="dcterms:W3CDTF">2018-09-18T15:41:00Z</dcterms:modified>
</cp:coreProperties>
</file>