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75" w:rsidRDefault="00A13075">
      <w:pPr>
        <w:widowControl w:val="0"/>
        <w:autoSpaceDE w:val="0"/>
        <w:autoSpaceDN w:val="0"/>
        <w:adjustRightInd w:val="0"/>
        <w:jc w:val="both"/>
        <w:outlineLvl w:val="0"/>
      </w:pP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4 сентября 2013 г. N 775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УСТАНОВЛЕНИИ РАЗМЕРА НАЧАЛЬНОЙ (МАКСИМАЛЬНОЙ) ЦЕНЫ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КОНТРАКТА ПРИ ОСУЩЕСТВЛЕНИИ ЗАКУПКИ ТОВАРА, РАБОТЫ, УСЛУГИ,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ПРИ </w:t>
      </w:r>
      <w:proofErr w:type="gramStart"/>
      <w:r>
        <w:rPr>
          <w:b/>
          <w:bCs/>
        </w:rPr>
        <w:t>ПРЕВЫШЕНИИ</w:t>
      </w:r>
      <w:proofErr w:type="gramEnd"/>
      <w:r>
        <w:rPr>
          <w:b/>
          <w:bCs/>
        </w:rPr>
        <w:t xml:space="preserve"> КОТОРОЙ В КОНТРАКТЕ УСТАНАВЛИВАЕТСЯ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ОБЯЗАННОСТЬ ПОСТАВЩИКА (ПОДРЯДЧИКА, ИСПОЛНИТЕЛЯ)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ПРЕДОСТАВЛЯТЬ ЗАКАЗЧИКУ ДОПОЛНИТЕЛЬНУЮ ИНФОРМАЦИЮ</w:t>
      </w:r>
    </w:p>
    <w:p w:rsidR="00A13075" w:rsidRDefault="00A13075">
      <w:pPr>
        <w:widowControl w:val="0"/>
        <w:autoSpaceDE w:val="0"/>
        <w:autoSpaceDN w:val="0"/>
        <w:adjustRightInd w:val="0"/>
        <w:jc w:val="center"/>
      </w:pP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частями 19</w:t>
        </w:r>
      </w:hyperlink>
      <w:r>
        <w:t xml:space="preserve"> и </w:t>
      </w:r>
      <w:hyperlink r:id="rId5" w:history="1">
        <w:r>
          <w:rPr>
            <w:color w:val="0000FF"/>
          </w:rPr>
          <w:t>23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Установить следующие размеры начальной (максимальной) цены контракта, при превышении которых в контракте должна быть указана обязанность участника закупки товара, работы, услуги (далее - закупка), с которым заключается контракт, предоставить заказчику информацию о своих </w:t>
      </w:r>
      <w:proofErr w:type="spellStart"/>
      <w:r>
        <w:t>выгодоприобретателях</w:t>
      </w:r>
      <w:proofErr w:type="spellEnd"/>
      <w:r>
        <w:t>, единоличном исполнительном органе хозяйственного общества (директоре, генеральном директоре, управляющем, президенте и др.), членах коллегиального исполнительного органа хозяйственного общества, руководителе (директоре, генеральном директоре) учреждения или унитарного предприятия либо</w:t>
      </w:r>
      <w:proofErr w:type="gramEnd"/>
      <w:r>
        <w:t xml:space="preserve"> об иных органах управления юридических лиц участников закупки путем указания фамилий, имен, отчеств (при наличии) таких лиц с учетом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персональных данных":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>1 млрд. рублей - при осуществлении закупки для обеспечения федеральных нужд;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>100 млн. рублей - при осуществлении закупки для обеспечения нужд субъекта Российской Федерации и муниципальных нужд.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Установить следующие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</w:t>
      </w:r>
      <w:proofErr w:type="gramEnd"/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>1 млрд. рублей - при осуществлении закупки для обеспечения федеральных нужд;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>100 млн. рублей - при осуществлении закупки для обеспечения нужд субъекта Российской Федерации и муниципальных нужд.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постановление вступает в силу с 1 января 2014 г.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</w:p>
    <w:p w:rsidR="00A13075" w:rsidRDefault="00A13075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A13075" w:rsidRDefault="00A13075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13075" w:rsidRDefault="00A13075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</w:p>
    <w:p w:rsidR="00A13075" w:rsidRDefault="00A13075">
      <w:pPr>
        <w:widowControl w:val="0"/>
        <w:autoSpaceDE w:val="0"/>
        <w:autoSpaceDN w:val="0"/>
        <w:adjustRightInd w:val="0"/>
        <w:ind w:firstLine="540"/>
        <w:jc w:val="both"/>
      </w:pPr>
    </w:p>
    <w:p w:rsidR="00A13075" w:rsidRDefault="00A130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DF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3075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13075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6430C2240BF8962205A0DD61C4B6264F328B50FB73B37004BBFA7E6118R4M" TargetMode="External"/><Relationship Id="rId5" Type="http://schemas.openxmlformats.org/officeDocument/2006/relationships/hyperlink" Target="consultantplus://offline/ref=206430C2240BF8962205A0DD61C4B6264F338557FC73B37004BBFA7E618400E6C6F40FAA2F4660421DR9M" TargetMode="External"/><Relationship Id="rId4" Type="http://schemas.openxmlformats.org/officeDocument/2006/relationships/hyperlink" Target="consultantplus://offline/ref=206430C2240BF8962205A0DD61C4B6264F338557FC73B37004BBFA7E618400E6C6F40FAA2F4660411D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2233</Characters>
  <Application>Microsoft Office Word</Application>
  <DocSecurity>0</DocSecurity>
  <Lines>18</Lines>
  <Paragraphs>5</Paragraphs>
  <ScaleCrop>false</ScaleCrop>
  <Company>ДК МФ РТ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2014-01-20T12:17:00Z</dcterms:created>
  <dcterms:modified xsi:type="dcterms:W3CDTF">2014-01-20T12:19:00Z</dcterms:modified>
</cp:coreProperties>
</file>