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52A" w:rsidRDefault="0059652A">
      <w:pPr>
        <w:widowControl w:val="0"/>
        <w:autoSpaceDE w:val="0"/>
        <w:autoSpaceDN w:val="0"/>
        <w:adjustRightInd w:val="0"/>
        <w:jc w:val="center"/>
        <w:outlineLvl w:val="0"/>
      </w:pPr>
    </w:p>
    <w:p w:rsidR="0059652A" w:rsidRDefault="0059652A">
      <w:pPr>
        <w:widowControl w:val="0"/>
        <w:autoSpaceDE w:val="0"/>
        <w:autoSpaceDN w:val="0"/>
        <w:adjustRightInd w:val="0"/>
        <w:jc w:val="center"/>
        <w:outlineLvl w:val="0"/>
        <w:rPr>
          <w:b/>
          <w:bCs/>
        </w:rPr>
      </w:pPr>
      <w:bookmarkStart w:id="0" w:name="Par1"/>
      <w:bookmarkEnd w:id="0"/>
      <w:r>
        <w:rPr>
          <w:b/>
          <w:bCs/>
        </w:rPr>
        <w:t>МИНИСТЕРСТВО ФИНАНСОВ РОССИЙСКОЙ ФЕДЕРАЦИИ</w:t>
      </w:r>
    </w:p>
    <w:p w:rsidR="0059652A" w:rsidRDefault="0059652A">
      <w:pPr>
        <w:widowControl w:val="0"/>
        <w:autoSpaceDE w:val="0"/>
        <w:autoSpaceDN w:val="0"/>
        <w:adjustRightInd w:val="0"/>
        <w:jc w:val="center"/>
        <w:rPr>
          <w:b/>
          <w:bCs/>
        </w:rPr>
      </w:pPr>
    </w:p>
    <w:p w:rsidR="0059652A" w:rsidRDefault="0059652A">
      <w:pPr>
        <w:widowControl w:val="0"/>
        <w:autoSpaceDE w:val="0"/>
        <w:autoSpaceDN w:val="0"/>
        <w:adjustRightInd w:val="0"/>
        <w:jc w:val="center"/>
        <w:rPr>
          <w:b/>
          <w:bCs/>
        </w:rPr>
      </w:pPr>
      <w:r>
        <w:rPr>
          <w:b/>
          <w:bCs/>
        </w:rPr>
        <w:t>ФЕДЕРАЛЬНОЕ КАЗНАЧЕЙСТВО</w:t>
      </w:r>
    </w:p>
    <w:p w:rsidR="0059652A" w:rsidRDefault="0059652A">
      <w:pPr>
        <w:widowControl w:val="0"/>
        <w:autoSpaceDE w:val="0"/>
        <w:autoSpaceDN w:val="0"/>
        <w:adjustRightInd w:val="0"/>
        <w:jc w:val="center"/>
        <w:rPr>
          <w:b/>
          <w:bCs/>
        </w:rPr>
      </w:pPr>
    </w:p>
    <w:p w:rsidR="0059652A" w:rsidRDefault="0059652A">
      <w:pPr>
        <w:widowControl w:val="0"/>
        <w:autoSpaceDE w:val="0"/>
        <w:autoSpaceDN w:val="0"/>
        <w:adjustRightInd w:val="0"/>
        <w:jc w:val="center"/>
        <w:rPr>
          <w:b/>
          <w:bCs/>
        </w:rPr>
      </w:pPr>
      <w:r>
        <w:rPr>
          <w:b/>
          <w:bCs/>
        </w:rPr>
        <w:t>ПИСЬМО</w:t>
      </w:r>
    </w:p>
    <w:p w:rsidR="0059652A" w:rsidRDefault="0059652A">
      <w:pPr>
        <w:widowControl w:val="0"/>
        <w:autoSpaceDE w:val="0"/>
        <w:autoSpaceDN w:val="0"/>
        <w:adjustRightInd w:val="0"/>
        <w:jc w:val="center"/>
        <w:rPr>
          <w:b/>
          <w:bCs/>
        </w:rPr>
      </w:pPr>
      <w:r>
        <w:rPr>
          <w:b/>
          <w:bCs/>
        </w:rPr>
        <w:t>от 9 декабря 2013 г. N 42-7.4-05/3.3-783</w:t>
      </w:r>
    </w:p>
    <w:p w:rsidR="0059652A" w:rsidRDefault="0059652A">
      <w:pPr>
        <w:widowControl w:val="0"/>
        <w:autoSpaceDE w:val="0"/>
        <w:autoSpaceDN w:val="0"/>
        <w:adjustRightInd w:val="0"/>
        <w:jc w:val="center"/>
        <w:rPr>
          <w:b/>
          <w:bCs/>
        </w:rPr>
      </w:pPr>
    </w:p>
    <w:p w:rsidR="0059652A" w:rsidRDefault="0059652A">
      <w:pPr>
        <w:widowControl w:val="0"/>
        <w:autoSpaceDE w:val="0"/>
        <w:autoSpaceDN w:val="0"/>
        <w:adjustRightInd w:val="0"/>
        <w:jc w:val="center"/>
        <w:rPr>
          <w:b/>
          <w:bCs/>
        </w:rPr>
      </w:pPr>
      <w:r>
        <w:rPr>
          <w:b/>
          <w:bCs/>
        </w:rPr>
        <w:t>О НАПРАВЛЕНИИ ПИСЬМА МИНФИНА РОССИИ</w:t>
      </w:r>
    </w:p>
    <w:p w:rsidR="0059652A" w:rsidRDefault="0059652A">
      <w:pPr>
        <w:widowControl w:val="0"/>
        <w:autoSpaceDE w:val="0"/>
        <w:autoSpaceDN w:val="0"/>
        <w:adjustRightInd w:val="0"/>
        <w:jc w:val="center"/>
        <w:rPr>
          <w:b/>
          <w:bCs/>
        </w:rPr>
      </w:pPr>
      <w:r>
        <w:rPr>
          <w:b/>
          <w:bCs/>
        </w:rPr>
        <w:t>ОТ 2 ДЕКАБРЯ 2013 Г. N 02-03-007/52448</w:t>
      </w:r>
    </w:p>
    <w:p w:rsidR="0059652A" w:rsidRDefault="0059652A">
      <w:pPr>
        <w:widowControl w:val="0"/>
        <w:autoSpaceDE w:val="0"/>
        <w:autoSpaceDN w:val="0"/>
        <w:adjustRightInd w:val="0"/>
        <w:jc w:val="center"/>
      </w:pPr>
    </w:p>
    <w:p w:rsidR="0059652A" w:rsidRDefault="0059652A">
      <w:pPr>
        <w:widowControl w:val="0"/>
        <w:autoSpaceDE w:val="0"/>
        <w:autoSpaceDN w:val="0"/>
        <w:adjustRightInd w:val="0"/>
        <w:ind w:firstLine="540"/>
        <w:jc w:val="both"/>
      </w:pPr>
      <w:proofErr w:type="gramStart"/>
      <w:r>
        <w:t xml:space="preserve">Федеральное казначейство направляет для сведения и руководства в работе </w:t>
      </w:r>
      <w:hyperlink w:anchor="Par23" w:history="1">
        <w:r>
          <w:rPr>
            <w:color w:val="0000FF"/>
          </w:rPr>
          <w:t>письмо</w:t>
        </w:r>
      </w:hyperlink>
      <w:r>
        <w:t xml:space="preserve"> Министерства финансов Российской Федерации от 2 декабря 2013 г. N 02-03-007/52448 о применении отдельных положений </w:t>
      </w:r>
      <w:hyperlink r:id="rId4" w:history="1">
        <w:r>
          <w:rPr>
            <w:color w:val="0000FF"/>
          </w:rPr>
          <w:t>Порядка</w:t>
        </w:r>
      </w:hyperlink>
      <w:r>
        <w:t xml:space="preserve"> учета бюджетных обязательств, утвержденного приказом Министерства финансов Российской Федерации от 19 сентября 2008 г. N 98н, в части постановки на учет органом Федерального казначейства бюджетного обязательства (внесение изменений в обязательство) в случае, если</w:t>
      </w:r>
      <w:proofErr w:type="gramEnd"/>
      <w:r>
        <w:t xml:space="preserve"> получателем средств федерального бюджета в качестве документа - основания вместе с документами для учета бюджетных обязатель</w:t>
      </w:r>
      <w:proofErr w:type="gramStart"/>
      <w:r>
        <w:t>ств пр</w:t>
      </w:r>
      <w:proofErr w:type="gramEnd"/>
      <w:r>
        <w:t>едставлен договор уступки прав (цессии).</w:t>
      </w:r>
    </w:p>
    <w:p w:rsidR="0059652A" w:rsidRDefault="0059652A">
      <w:pPr>
        <w:widowControl w:val="0"/>
        <w:autoSpaceDE w:val="0"/>
        <w:autoSpaceDN w:val="0"/>
        <w:adjustRightInd w:val="0"/>
        <w:jc w:val="right"/>
      </w:pPr>
    </w:p>
    <w:p w:rsidR="0059652A" w:rsidRDefault="0059652A">
      <w:pPr>
        <w:widowControl w:val="0"/>
        <w:autoSpaceDE w:val="0"/>
        <w:autoSpaceDN w:val="0"/>
        <w:adjustRightInd w:val="0"/>
        <w:jc w:val="right"/>
      </w:pPr>
      <w:r>
        <w:t>Р.Е.АРТЮХИН</w:t>
      </w: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jc w:val="right"/>
        <w:outlineLvl w:val="0"/>
      </w:pPr>
      <w:bookmarkStart w:id="1" w:name="Par19"/>
      <w:bookmarkEnd w:id="1"/>
      <w:r>
        <w:t>Приложение</w:t>
      </w: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jc w:val="center"/>
        <w:rPr>
          <w:b/>
          <w:bCs/>
        </w:rPr>
      </w:pPr>
      <w:r>
        <w:rPr>
          <w:b/>
          <w:bCs/>
        </w:rPr>
        <w:t>МИНИСТЕРСТВО ФИНАНСОВ РОССИЙСКОЙ ФЕДЕРАЦИИ</w:t>
      </w:r>
    </w:p>
    <w:p w:rsidR="0059652A" w:rsidRDefault="0059652A">
      <w:pPr>
        <w:widowControl w:val="0"/>
        <w:autoSpaceDE w:val="0"/>
        <w:autoSpaceDN w:val="0"/>
        <w:adjustRightInd w:val="0"/>
        <w:jc w:val="center"/>
        <w:rPr>
          <w:b/>
          <w:bCs/>
        </w:rPr>
      </w:pPr>
    </w:p>
    <w:p w:rsidR="0059652A" w:rsidRDefault="0059652A">
      <w:pPr>
        <w:widowControl w:val="0"/>
        <w:autoSpaceDE w:val="0"/>
        <w:autoSpaceDN w:val="0"/>
        <w:adjustRightInd w:val="0"/>
        <w:jc w:val="center"/>
        <w:rPr>
          <w:b/>
          <w:bCs/>
        </w:rPr>
      </w:pPr>
      <w:bookmarkStart w:id="2" w:name="Par23"/>
      <w:bookmarkEnd w:id="2"/>
      <w:r>
        <w:rPr>
          <w:b/>
          <w:bCs/>
        </w:rPr>
        <w:t>ПИСЬМО</w:t>
      </w:r>
    </w:p>
    <w:p w:rsidR="0059652A" w:rsidRDefault="0059652A">
      <w:pPr>
        <w:widowControl w:val="0"/>
        <w:autoSpaceDE w:val="0"/>
        <w:autoSpaceDN w:val="0"/>
        <w:adjustRightInd w:val="0"/>
        <w:jc w:val="center"/>
        <w:rPr>
          <w:b/>
          <w:bCs/>
        </w:rPr>
      </w:pPr>
      <w:r>
        <w:rPr>
          <w:b/>
          <w:bCs/>
        </w:rPr>
        <w:t>от 2 декабря 2013 г. N 02-03-007/52448</w:t>
      </w:r>
    </w:p>
    <w:p w:rsidR="0059652A" w:rsidRDefault="0059652A">
      <w:pPr>
        <w:widowControl w:val="0"/>
        <w:autoSpaceDE w:val="0"/>
        <w:autoSpaceDN w:val="0"/>
        <w:adjustRightInd w:val="0"/>
        <w:jc w:val="center"/>
      </w:pPr>
    </w:p>
    <w:p w:rsidR="0059652A" w:rsidRDefault="0059652A">
      <w:pPr>
        <w:widowControl w:val="0"/>
        <w:autoSpaceDE w:val="0"/>
        <w:autoSpaceDN w:val="0"/>
        <w:adjustRightInd w:val="0"/>
        <w:ind w:firstLine="540"/>
        <w:jc w:val="both"/>
      </w:pPr>
      <w:r>
        <w:t xml:space="preserve">Департамент бюджетной методологии Министерства финансов Российской Федерации (далее - Департамент) рассмотрел обращение о применении отдельных </w:t>
      </w:r>
      <w:proofErr w:type="gramStart"/>
      <w:r>
        <w:t xml:space="preserve">положений </w:t>
      </w:r>
      <w:hyperlink r:id="rId5" w:history="1">
        <w:r>
          <w:rPr>
            <w:color w:val="0000FF"/>
          </w:rPr>
          <w:t>Порядка</w:t>
        </w:r>
      </w:hyperlink>
      <w:r>
        <w:t xml:space="preserve"> учета бюджетных обязательств получателей средств федерального</w:t>
      </w:r>
      <w:proofErr w:type="gramEnd"/>
      <w:r>
        <w:t xml:space="preserve"> бюджета, утвержденного приказом Министерства финансов Российской Федерации от 19.09.2008 N 98н (далее - Порядок N 98н), и сообщает.</w:t>
      </w:r>
    </w:p>
    <w:p w:rsidR="0059652A" w:rsidRDefault="0059652A">
      <w:pPr>
        <w:widowControl w:val="0"/>
        <w:autoSpaceDE w:val="0"/>
        <w:autoSpaceDN w:val="0"/>
        <w:adjustRightInd w:val="0"/>
        <w:ind w:firstLine="540"/>
        <w:jc w:val="both"/>
      </w:pPr>
      <w:proofErr w:type="gramStart"/>
      <w:r>
        <w:t xml:space="preserve">В соответствии с положениями </w:t>
      </w:r>
      <w:hyperlink r:id="rId6" w:history="1">
        <w:r>
          <w:rPr>
            <w:color w:val="0000FF"/>
          </w:rPr>
          <w:t>пункта 2.3</w:t>
        </w:r>
      </w:hyperlink>
      <w:r>
        <w:t xml:space="preserve"> Порядка N 98н </w:t>
      </w:r>
      <w:hyperlink r:id="rId7" w:history="1">
        <w:r>
          <w:rPr>
            <w:color w:val="0000FF"/>
          </w:rPr>
          <w:t>Сведения</w:t>
        </w:r>
      </w:hyperlink>
      <w:r>
        <w:t xml:space="preserve"> о принятом бюджетном обязательстве (код формы по КФД 0531702) (далее - Сведения об обязательстве), представляемые в территориальный орган Федерального казначейства (далее - орган Федерального казначейства) получателем средств федерального бюджета для постановки на учет бюджетного обязательства, возникшего на основании государственного контракта (договора) на поставку товаров, выполнение работ, оказание услуг для государственных нужд, сведения</w:t>
      </w:r>
      <w:proofErr w:type="gramEnd"/>
      <w:r>
        <w:t xml:space="preserve"> </w:t>
      </w:r>
      <w:proofErr w:type="gramStart"/>
      <w:r>
        <w:t>о котором подлежат включению в реестр контрактов (далее - государственный контракт), подлежат проверке органом Федерального казначейства на наличие в них наименования (наименований) и реквизитов физического или юридического лица, перед которым у получателя средств федерального бюджета в соответствии с условиями государственного контракта возникло бюджетное обязательство, и (или) администратора доходов бюджета, если в соответствии с государственным контрактом у получателя средств федерального бюджета возникло</w:t>
      </w:r>
      <w:proofErr w:type="gramEnd"/>
      <w:r>
        <w:t xml:space="preserve"> </w:t>
      </w:r>
      <w:r>
        <w:lastRenderedPageBreak/>
        <w:t>обязательство по уплате налогов, сборов и иных платежей в бюджеты бюджетной системы Российской Федерации (далее - контрагент).</w:t>
      </w:r>
    </w:p>
    <w:p w:rsidR="0059652A" w:rsidRDefault="0059652A">
      <w:pPr>
        <w:widowControl w:val="0"/>
        <w:autoSpaceDE w:val="0"/>
        <w:autoSpaceDN w:val="0"/>
        <w:adjustRightInd w:val="0"/>
        <w:ind w:firstLine="540"/>
        <w:jc w:val="both"/>
      </w:pPr>
      <w:proofErr w:type="gramStart"/>
      <w:r>
        <w:t xml:space="preserve">При этом в соответствии с положениями </w:t>
      </w:r>
      <w:hyperlink r:id="rId8" w:history="1">
        <w:r>
          <w:rPr>
            <w:color w:val="0000FF"/>
          </w:rPr>
          <w:t>пункта 6.1 статьи 9</w:t>
        </w:r>
      </w:hyperlink>
      <w:r>
        <w:t xml:space="preserve"> Федерального закона от 21.07.2005 N 94-ФЗ "О размещении заказов на поставки товаров, выполнение работ, оказание услуг для государственных и муниципальных нужд" при исполнении государственного контракта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государственному контракту вследствие реорганизации</w:t>
      </w:r>
      <w:proofErr w:type="gramEnd"/>
      <w:r>
        <w:t xml:space="preserve"> юридического лица в форме преобразования, слияния.</w:t>
      </w:r>
    </w:p>
    <w:p w:rsidR="0059652A" w:rsidRDefault="0059652A">
      <w:pPr>
        <w:widowControl w:val="0"/>
        <w:autoSpaceDE w:val="0"/>
        <w:autoSpaceDN w:val="0"/>
        <w:adjustRightInd w:val="0"/>
        <w:ind w:firstLine="540"/>
        <w:jc w:val="both"/>
      </w:pPr>
      <w:proofErr w:type="gramStart"/>
      <w:r>
        <w:t xml:space="preserve">Учитывая изложенное, а также положения </w:t>
      </w:r>
      <w:hyperlink r:id="rId9" w:history="1">
        <w:r>
          <w:rPr>
            <w:color w:val="0000FF"/>
          </w:rPr>
          <w:t>пункта 2.5.1</w:t>
        </w:r>
      </w:hyperlink>
      <w:r>
        <w:t xml:space="preserve"> Порядка N 98н, в соответствии с которыми орган Федерального казначейства при проверке представляемых получателем средств федерального бюджета Сведений об обязательстве осуществляет проверку соответствия наименования и реквизитов контрагента, указанных в Сведениях об обязательстве, наименованию и реквизитам контрагента, указанным в государственном контракте, по мнению Департамента, в Сведениях об обязательстве в качестве контрагента не может быть</w:t>
      </w:r>
      <w:proofErr w:type="gramEnd"/>
      <w:r>
        <w:t xml:space="preserve"> указано лицо, которому в соответствии с договором уступки прав (цессии) передано право требования по государственному контракту.</w:t>
      </w:r>
    </w:p>
    <w:p w:rsidR="0059652A" w:rsidRDefault="0059652A">
      <w:pPr>
        <w:widowControl w:val="0"/>
        <w:autoSpaceDE w:val="0"/>
        <w:autoSpaceDN w:val="0"/>
        <w:adjustRightInd w:val="0"/>
        <w:ind w:firstLine="540"/>
        <w:jc w:val="both"/>
      </w:pPr>
      <w:proofErr w:type="gramStart"/>
      <w:r>
        <w:t xml:space="preserve">Кроме того, получатель средств федерального бюджета не вправе перечислять такому лицу денежные средства в качестве оплаты денежных обязательств по государственному контракту, поскольку в соответствии с требованиями </w:t>
      </w:r>
      <w:hyperlink r:id="rId10" w:history="1">
        <w:r>
          <w:rPr>
            <w:color w:val="0000FF"/>
          </w:rPr>
          <w:t>Порядка</w:t>
        </w:r>
      </w:hyperlink>
      <w:r>
        <w:t xml:space="preserve">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 утвержденного приказом Министерства финансов Российской Федерации от 01.09.2008 N 87н, оплата денежных обязательств по государственному контракту может быть</w:t>
      </w:r>
      <w:proofErr w:type="gramEnd"/>
      <w:r>
        <w:t xml:space="preserve"> </w:t>
      </w:r>
      <w:proofErr w:type="gramStart"/>
      <w:r>
        <w:t>произведена</w:t>
      </w:r>
      <w:proofErr w:type="gramEnd"/>
      <w:r>
        <w:t xml:space="preserve"> получателем средств федерального бюджета только путем перечисления денежных средств контрагенту, указанному в </w:t>
      </w:r>
      <w:hyperlink r:id="rId11" w:history="1">
        <w:r>
          <w:rPr>
            <w:color w:val="0000FF"/>
          </w:rPr>
          <w:t>Сведениях</w:t>
        </w:r>
      </w:hyperlink>
      <w:r>
        <w:t xml:space="preserve"> об обязательстве.</w:t>
      </w: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jc w:val="right"/>
      </w:pPr>
      <w:r>
        <w:t>Директор Департамента</w:t>
      </w:r>
    </w:p>
    <w:p w:rsidR="0059652A" w:rsidRDefault="0059652A">
      <w:pPr>
        <w:widowControl w:val="0"/>
        <w:autoSpaceDE w:val="0"/>
        <w:autoSpaceDN w:val="0"/>
        <w:adjustRightInd w:val="0"/>
        <w:jc w:val="right"/>
      </w:pPr>
      <w:r>
        <w:t>бюджетной методологии</w:t>
      </w:r>
    </w:p>
    <w:p w:rsidR="0059652A" w:rsidRDefault="0059652A">
      <w:pPr>
        <w:widowControl w:val="0"/>
        <w:autoSpaceDE w:val="0"/>
        <w:autoSpaceDN w:val="0"/>
        <w:adjustRightInd w:val="0"/>
        <w:jc w:val="right"/>
      </w:pPr>
      <w:r>
        <w:t>С.В.РОМАНОВ</w:t>
      </w:r>
    </w:p>
    <w:p w:rsidR="0059652A" w:rsidRDefault="0059652A">
      <w:pPr>
        <w:widowControl w:val="0"/>
        <w:autoSpaceDE w:val="0"/>
        <w:autoSpaceDN w:val="0"/>
        <w:adjustRightInd w:val="0"/>
        <w:ind w:firstLine="540"/>
        <w:jc w:val="both"/>
      </w:pPr>
    </w:p>
    <w:p w:rsidR="0059652A" w:rsidRDefault="0059652A">
      <w:pPr>
        <w:widowControl w:val="0"/>
        <w:autoSpaceDE w:val="0"/>
        <w:autoSpaceDN w:val="0"/>
        <w:adjustRightInd w:val="0"/>
        <w:ind w:firstLine="540"/>
        <w:jc w:val="both"/>
      </w:pPr>
    </w:p>
    <w:p w:rsidR="0059652A" w:rsidRDefault="0059652A">
      <w:pPr>
        <w:widowControl w:val="0"/>
        <w:pBdr>
          <w:bottom w:val="single" w:sz="6" w:space="0" w:color="auto"/>
        </w:pBdr>
        <w:autoSpaceDE w:val="0"/>
        <w:autoSpaceDN w:val="0"/>
        <w:adjustRightInd w:val="0"/>
        <w:rPr>
          <w:sz w:val="5"/>
          <w:szCs w:val="5"/>
        </w:rPr>
      </w:pPr>
    </w:p>
    <w:p w:rsidR="0066266C" w:rsidRDefault="0066266C"/>
    <w:sectPr w:rsidR="0066266C" w:rsidSect="00735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grammar="clean"/>
  <w:stylePaneFormatFilter w:val="3F01"/>
  <w:defaultTabStop w:val="708"/>
  <w:characterSpacingControl w:val="doNotCompress"/>
  <w:compat/>
  <w:rsids>
    <w:rsidRoot w:val="0059652A"/>
    <w:rsid w:val="00000A3A"/>
    <w:rsid w:val="00002552"/>
    <w:rsid w:val="0003530D"/>
    <w:rsid w:val="000365C2"/>
    <w:rsid w:val="000431E3"/>
    <w:rsid w:val="0004467C"/>
    <w:rsid w:val="00057815"/>
    <w:rsid w:val="00074F0B"/>
    <w:rsid w:val="000822DA"/>
    <w:rsid w:val="0009726A"/>
    <w:rsid w:val="000A07F7"/>
    <w:rsid w:val="000C256A"/>
    <w:rsid w:val="000C2FE6"/>
    <w:rsid w:val="000C5A51"/>
    <w:rsid w:val="000D0980"/>
    <w:rsid w:val="000D1DE3"/>
    <w:rsid w:val="000D3874"/>
    <w:rsid w:val="000D7454"/>
    <w:rsid w:val="000E26F7"/>
    <w:rsid w:val="000E2FF5"/>
    <w:rsid w:val="000F01F0"/>
    <w:rsid w:val="000F0BD1"/>
    <w:rsid w:val="000F3C62"/>
    <w:rsid w:val="0010157A"/>
    <w:rsid w:val="00111905"/>
    <w:rsid w:val="00114A57"/>
    <w:rsid w:val="00122EE0"/>
    <w:rsid w:val="00135E55"/>
    <w:rsid w:val="00154616"/>
    <w:rsid w:val="001549FC"/>
    <w:rsid w:val="00154F47"/>
    <w:rsid w:val="00165006"/>
    <w:rsid w:val="001836B2"/>
    <w:rsid w:val="001961F6"/>
    <w:rsid w:val="00197E07"/>
    <w:rsid w:val="001A1AA0"/>
    <w:rsid w:val="001A467B"/>
    <w:rsid w:val="001A5B87"/>
    <w:rsid w:val="001C0C90"/>
    <w:rsid w:val="001D6341"/>
    <w:rsid w:val="001E044D"/>
    <w:rsid w:val="001E0586"/>
    <w:rsid w:val="001E1A10"/>
    <w:rsid w:val="001E48C5"/>
    <w:rsid w:val="001E4BB9"/>
    <w:rsid w:val="001F5BE1"/>
    <w:rsid w:val="00204E1C"/>
    <w:rsid w:val="00205279"/>
    <w:rsid w:val="00211B94"/>
    <w:rsid w:val="00216EAD"/>
    <w:rsid w:val="00217B18"/>
    <w:rsid w:val="0022365F"/>
    <w:rsid w:val="002248D0"/>
    <w:rsid w:val="00227DE4"/>
    <w:rsid w:val="00242875"/>
    <w:rsid w:val="00251118"/>
    <w:rsid w:val="00271C90"/>
    <w:rsid w:val="002725E2"/>
    <w:rsid w:val="00275887"/>
    <w:rsid w:val="0029680E"/>
    <w:rsid w:val="002E0BDB"/>
    <w:rsid w:val="002E529C"/>
    <w:rsid w:val="002F1AAF"/>
    <w:rsid w:val="002F31A3"/>
    <w:rsid w:val="002F7A38"/>
    <w:rsid w:val="002F7FCC"/>
    <w:rsid w:val="00307B03"/>
    <w:rsid w:val="003152DC"/>
    <w:rsid w:val="003262CE"/>
    <w:rsid w:val="00327963"/>
    <w:rsid w:val="00331767"/>
    <w:rsid w:val="0034203E"/>
    <w:rsid w:val="00344588"/>
    <w:rsid w:val="003663E3"/>
    <w:rsid w:val="00366495"/>
    <w:rsid w:val="00382264"/>
    <w:rsid w:val="0038640F"/>
    <w:rsid w:val="003A0564"/>
    <w:rsid w:val="003A406B"/>
    <w:rsid w:val="003C7AF8"/>
    <w:rsid w:val="003D0C6F"/>
    <w:rsid w:val="003D5C30"/>
    <w:rsid w:val="003D7A2A"/>
    <w:rsid w:val="003F4AF5"/>
    <w:rsid w:val="0043668A"/>
    <w:rsid w:val="004400D9"/>
    <w:rsid w:val="00442CE7"/>
    <w:rsid w:val="004440AD"/>
    <w:rsid w:val="00473FAF"/>
    <w:rsid w:val="00482E5C"/>
    <w:rsid w:val="0049271C"/>
    <w:rsid w:val="004A60B8"/>
    <w:rsid w:val="004A65D6"/>
    <w:rsid w:val="004B1260"/>
    <w:rsid w:val="004B511A"/>
    <w:rsid w:val="004C4198"/>
    <w:rsid w:val="004E4D8E"/>
    <w:rsid w:val="00502500"/>
    <w:rsid w:val="00506881"/>
    <w:rsid w:val="00517BC2"/>
    <w:rsid w:val="005277F4"/>
    <w:rsid w:val="00534CF9"/>
    <w:rsid w:val="005516B0"/>
    <w:rsid w:val="00554D93"/>
    <w:rsid w:val="0056287F"/>
    <w:rsid w:val="00567394"/>
    <w:rsid w:val="00591E46"/>
    <w:rsid w:val="0059652A"/>
    <w:rsid w:val="005C42DE"/>
    <w:rsid w:val="005C4A39"/>
    <w:rsid w:val="005E0888"/>
    <w:rsid w:val="00611281"/>
    <w:rsid w:val="00613388"/>
    <w:rsid w:val="00616E86"/>
    <w:rsid w:val="00623F91"/>
    <w:rsid w:val="00644FF8"/>
    <w:rsid w:val="0066266C"/>
    <w:rsid w:val="00667533"/>
    <w:rsid w:val="00671F8D"/>
    <w:rsid w:val="00673570"/>
    <w:rsid w:val="006762C9"/>
    <w:rsid w:val="00681D8C"/>
    <w:rsid w:val="00690708"/>
    <w:rsid w:val="006942B8"/>
    <w:rsid w:val="006975BB"/>
    <w:rsid w:val="006A0EB1"/>
    <w:rsid w:val="006B6091"/>
    <w:rsid w:val="006C29DF"/>
    <w:rsid w:val="006C2F98"/>
    <w:rsid w:val="006D2927"/>
    <w:rsid w:val="006D7B91"/>
    <w:rsid w:val="006E5506"/>
    <w:rsid w:val="006E74F2"/>
    <w:rsid w:val="006F3C20"/>
    <w:rsid w:val="006F65D7"/>
    <w:rsid w:val="006F726F"/>
    <w:rsid w:val="0070208D"/>
    <w:rsid w:val="007074E7"/>
    <w:rsid w:val="00707F44"/>
    <w:rsid w:val="00714B87"/>
    <w:rsid w:val="007162F8"/>
    <w:rsid w:val="0072211B"/>
    <w:rsid w:val="007229ED"/>
    <w:rsid w:val="00726B6C"/>
    <w:rsid w:val="00726C50"/>
    <w:rsid w:val="00732B9D"/>
    <w:rsid w:val="007366DA"/>
    <w:rsid w:val="007518FD"/>
    <w:rsid w:val="007609C4"/>
    <w:rsid w:val="007645C7"/>
    <w:rsid w:val="007670F4"/>
    <w:rsid w:val="0077763F"/>
    <w:rsid w:val="00785EC0"/>
    <w:rsid w:val="00790B08"/>
    <w:rsid w:val="00794ABA"/>
    <w:rsid w:val="00796194"/>
    <w:rsid w:val="007979A4"/>
    <w:rsid w:val="007A0EA4"/>
    <w:rsid w:val="007A36D8"/>
    <w:rsid w:val="007B56E7"/>
    <w:rsid w:val="007D18F1"/>
    <w:rsid w:val="007D375A"/>
    <w:rsid w:val="007D450E"/>
    <w:rsid w:val="007E4475"/>
    <w:rsid w:val="0080277F"/>
    <w:rsid w:val="00813D6E"/>
    <w:rsid w:val="00815606"/>
    <w:rsid w:val="00832AEA"/>
    <w:rsid w:val="00835BEA"/>
    <w:rsid w:val="00842B43"/>
    <w:rsid w:val="008562A3"/>
    <w:rsid w:val="00867609"/>
    <w:rsid w:val="00884C0E"/>
    <w:rsid w:val="00885FFA"/>
    <w:rsid w:val="008A63D2"/>
    <w:rsid w:val="008A6999"/>
    <w:rsid w:val="008B4A24"/>
    <w:rsid w:val="008B5DC5"/>
    <w:rsid w:val="008C7BD0"/>
    <w:rsid w:val="008D7397"/>
    <w:rsid w:val="008F0139"/>
    <w:rsid w:val="008F4F0E"/>
    <w:rsid w:val="008F52C4"/>
    <w:rsid w:val="0091784E"/>
    <w:rsid w:val="00936200"/>
    <w:rsid w:val="00937722"/>
    <w:rsid w:val="00952D07"/>
    <w:rsid w:val="009621FB"/>
    <w:rsid w:val="00963081"/>
    <w:rsid w:val="00971021"/>
    <w:rsid w:val="00985223"/>
    <w:rsid w:val="009A1799"/>
    <w:rsid w:val="009A5ED3"/>
    <w:rsid w:val="009B3DD6"/>
    <w:rsid w:val="009C0930"/>
    <w:rsid w:val="009C4689"/>
    <w:rsid w:val="009C59C4"/>
    <w:rsid w:val="009D046B"/>
    <w:rsid w:val="009D0A7C"/>
    <w:rsid w:val="009D220F"/>
    <w:rsid w:val="009D7C34"/>
    <w:rsid w:val="009D7E62"/>
    <w:rsid w:val="009E34ED"/>
    <w:rsid w:val="009E350A"/>
    <w:rsid w:val="009E7594"/>
    <w:rsid w:val="00A07234"/>
    <w:rsid w:val="00A305CE"/>
    <w:rsid w:val="00A33A6D"/>
    <w:rsid w:val="00A4403D"/>
    <w:rsid w:val="00A45670"/>
    <w:rsid w:val="00A642A1"/>
    <w:rsid w:val="00A64812"/>
    <w:rsid w:val="00A70F8B"/>
    <w:rsid w:val="00A93820"/>
    <w:rsid w:val="00A93927"/>
    <w:rsid w:val="00A966B4"/>
    <w:rsid w:val="00AA4A3C"/>
    <w:rsid w:val="00AA7753"/>
    <w:rsid w:val="00AB1A5E"/>
    <w:rsid w:val="00AB24D6"/>
    <w:rsid w:val="00AB4197"/>
    <w:rsid w:val="00AB4D7E"/>
    <w:rsid w:val="00AC4C21"/>
    <w:rsid w:val="00AE6960"/>
    <w:rsid w:val="00AF3919"/>
    <w:rsid w:val="00AF63A2"/>
    <w:rsid w:val="00B038F1"/>
    <w:rsid w:val="00B0748C"/>
    <w:rsid w:val="00B07ADD"/>
    <w:rsid w:val="00B16528"/>
    <w:rsid w:val="00B17C9F"/>
    <w:rsid w:val="00B211FD"/>
    <w:rsid w:val="00B458D8"/>
    <w:rsid w:val="00B472A8"/>
    <w:rsid w:val="00B577C2"/>
    <w:rsid w:val="00B77FF3"/>
    <w:rsid w:val="00B85F65"/>
    <w:rsid w:val="00B95785"/>
    <w:rsid w:val="00BA2A22"/>
    <w:rsid w:val="00BB4357"/>
    <w:rsid w:val="00BC3FF0"/>
    <w:rsid w:val="00BD1263"/>
    <w:rsid w:val="00BD2DAC"/>
    <w:rsid w:val="00BD3657"/>
    <w:rsid w:val="00BD4FA1"/>
    <w:rsid w:val="00BE2427"/>
    <w:rsid w:val="00BF3C1C"/>
    <w:rsid w:val="00BF3C98"/>
    <w:rsid w:val="00C16B0C"/>
    <w:rsid w:val="00C20C64"/>
    <w:rsid w:val="00C217AF"/>
    <w:rsid w:val="00C2622F"/>
    <w:rsid w:val="00C30918"/>
    <w:rsid w:val="00C30AFA"/>
    <w:rsid w:val="00C45D91"/>
    <w:rsid w:val="00C53F87"/>
    <w:rsid w:val="00C60471"/>
    <w:rsid w:val="00C62363"/>
    <w:rsid w:val="00C660FC"/>
    <w:rsid w:val="00C73639"/>
    <w:rsid w:val="00C80BA9"/>
    <w:rsid w:val="00C945E8"/>
    <w:rsid w:val="00C95D9D"/>
    <w:rsid w:val="00C969D8"/>
    <w:rsid w:val="00CA5994"/>
    <w:rsid w:val="00CB65C5"/>
    <w:rsid w:val="00CB6C80"/>
    <w:rsid w:val="00CC32D1"/>
    <w:rsid w:val="00CC5D33"/>
    <w:rsid w:val="00CE2225"/>
    <w:rsid w:val="00CE2F6E"/>
    <w:rsid w:val="00CE3515"/>
    <w:rsid w:val="00CF1C7F"/>
    <w:rsid w:val="00CF4665"/>
    <w:rsid w:val="00CF6DB9"/>
    <w:rsid w:val="00D01DC3"/>
    <w:rsid w:val="00D2118F"/>
    <w:rsid w:val="00D30BDA"/>
    <w:rsid w:val="00D350A4"/>
    <w:rsid w:val="00D35BC8"/>
    <w:rsid w:val="00D70A35"/>
    <w:rsid w:val="00D7619B"/>
    <w:rsid w:val="00D768AE"/>
    <w:rsid w:val="00D77B05"/>
    <w:rsid w:val="00D82855"/>
    <w:rsid w:val="00D83876"/>
    <w:rsid w:val="00D93AE7"/>
    <w:rsid w:val="00DA479E"/>
    <w:rsid w:val="00DC18B8"/>
    <w:rsid w:val="00DC2F82"/>
    <w:rsid w:val="00DC762D"/>
    <w:rsid w:val="00DD2DAA"/>
    <w:rsid w:val="00DE13A1"/>
    <w:rsid w:val="00DF0F18"/>
    <w:rsid w:val="00E00F2F"/>
    <w:rsid w:val="00E0148A"/>
    <w:rsid w:val="00E04E22"/>
    <w:rsid w:val="00E10EA0"/>
    <w:rsid w:val="00E11187"/>
    <w:rsid w:val="00E178FB"/>
    <w:rsid w:val="00E3247C"/>
    <w:rsid w:val="00E362B0"/>
    <w:rsid w:val="00E3729D"/>
    <w:rsid w:val="00E54C7E"/>
    <w:rsid w:val="00E609CF"/>
    <w:rsid w:val="00E67D2F"/>
    <w:rsid w:val="00E80CBB"/>
    <w:rsid w:val="00E847D8"/>
    <w:rsid w:val="00E91E58"/>
    <w:rsid w:val="00E938F4"/>
    <w:rsid w:val="00E942EB"/>
    <w:rsid w:val="00EA121D"/>
    <w:rsid w:val="00EA1EE7"/>
    <w:rsid w:val="00EA1FE2"/>
    <w:rsid w:val="00EA6E25"/>
    <w:rsid w:val="00EB2D1E"/>
    <w:rsid w:val="00EC2C27"/>
    <w:rsid w:val="00ED55D4"/>
    <w:rsid w:val="00ED6E38"/>
    <w:rsid w:val="00EE17CC"/>
    <w:rsid w:val="00EE29E7"/>
    <w:rsid w:val="00F013EE"/>
    <w:rsid w:val="00F0510E"/>
    <w:rsid w:val="00F06A39"/>
    <w:rsid w:val="00F119ED"/>
    <w:rsid w:val="00F37169"/>
    <w:rsid w:val="00F37B00"/>
    <w:rsid w:val="00F45CA8"/>
    <w:rsid w:val="00F465DA"/>
    <w:rsid w:val="00F51983"/>
    <w:rsid w:val="00F53AE0"/>
    <w:rsid w:val="00F53F5C"/>
    <w:rsid w:val="00F6294C"/>
    <w:rsid w:val="00F70CE4"/>
    <w:rsid w:val="00F7350A"/>
    <w:rsid w:val="00F755FC"/>
    <w:rsid w:val="00F75869"/>
    <w:rsid w:val="00F8335A"/>
    <w:rsid w:val="00F914F8"/>
    <w:rsid w:val="00F970B7"/>
    <w:rsid w:val="00FA6C7D"/>
    <w:rsid w:val="00FB35D1"/>
    <w:rsid w:val="00FC7417"/>
    <w:rsid w:val="00FD7CEC"/>
    <w:rsid w:val="00FE2AAA"/>
    <w:rsid w:val="00FF2B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266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857864277AFC529B95FF0CCDE227653E4C9C752A41AFA839D90B2F638222E5010040363AF8J6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4857864277AFC529B95FF0CCDE227653E4C947A2B40AFA839D90B2F638222E50100403C3BF8JF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4857864277AFC529B95FF0CCDE227653E4C947A2B40AFA839D90B2F638222E50100403CF3J7G" TargetMode="External"/><Relationship Id="rId11" Type="http://schemas.openxmlformats.org/officeDocument/2006/relationships/hyperlink" Target="consultantplus://offline/ref=24857864277AFC529B95FF0CCDE227653E4C947A2B40AFA839D90B2F638222E50100403C3BF8JFG" TargetMode="External"/><Relationship Id="rId5" Type="http://schemas.openxmlformats.org/officeDocument/2006/relationships/hyperlink" Target="consultantplus://offline/ref=24857864277AFC529B95FF0CCDE227653E4C947A2B40AFA839D90B2F638222E50100403F3F87FF5FF2JCG" TargetMode="External"/><Relationship Id="rId10" Type="http://schemas.openxmlformats.org/officeDocument/2006/relationships/hyperlink" Target="consultantplus://offline/ref=24857864277AFC529B95FF0CCDE227653E4C947A2142AFA839D90B2F638222E50100403F3F87FF5FF2JCG" TargetMode="External"/><Relationship Id="rId4" Type="http://schemas.openxmlformats.org/officeDocument/2006/relationships/hyperlink" Target="consultantplus://offline/ref=24857864277AFC529B95FF0CCDE227653E4C947A2B40AFA839D90B2F638222E50100403F3F87FF5FF2JCG" TargetMode="External"/><Relationship Id="rId9" Type="http://schemas.openxmlformats.org/officeDocument/2006/relationships/hyperlink" Target="consultantplus://offline/ref=24857864277AFC529B95FF0CCDE227653E4C947A2B40AFA839D90B2F638222E501004039F3J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4615</Characters>
  <Application>Microsoft Office Word</Application>
  <DocSecurity>0</DocSecurity>
  <Lines>38</Lines>
  <Paragraphs>10</Paragraphs>
  <ScaleCrop>false</ScaleCrop>
  <Company>ДК МФ РТ</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12345</cp:lastModifiedBy>
  <cp:revision>1</cp:revision>
  <dcterms:created xsi:type="dcterms:W3CDTF">2014-01-16T06:09:00Z</dcterms:created>
  <dcterms:modified xsi:type="dcterms:W3CDTF">2014-01-16T06:10:00Z</dcterms:modified>
</cp:coreProperties>
</file>