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 декабря 2013 г. N 29401-ЕЕ/Д28и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 декабря 2013 г. N АД/53811/13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ЗАКОНОДАТЕЛЬСТВА РОССИЙСКОЙ ФЕДЕРАЦИИ В ОТНОШЕНИИ ТОРГОВ,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ЗАПРОСА КОТИРОВОК, ИЗВЕЩЕНИЯ ОБ ОСУЩЕСТВЛЕНИИ КОТОРЫХ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РАЗМЕЩЕНЫ НА ОФИЦИАЛЬНОМ САЙТЕ РОССИЙСКОЙ ФЕДЕРАЦИИ</w:t>
      </w:r>
      <w:proofErr w:type="gramEnd"/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РАЗМЕЩЕНИЯ ИНФОРМАЦИИ О РАЗМЕЩЕНИИ ЗАКАЗОВ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ПОСТАВКИ ТОВАРОВ, ВЫПОЛНЕНИЕ РАБОТ, ОКАЗАНИЕ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УСЛУГ ЛИБО </w:t>
      </w:r>
      <w:proofErr w:type="gramStart"/>
      <w:r>
        <w:rPr>
          <w:rFonts w:ascii="Calibri" w:hAnsi="Calibri" w:cs="Calibri"/>
          <w:b/>
          <w:bCs/>
        </w:rPr>
        <w:t>ПРИГЛАШЕНИЯ</w:t>
      </w:r>
      <w:proofErr w:type="gramEnd"/>
      <w:r>
        <w:rPr>
          <w:rFonts w:ascii="Calibri" w:hAnsi="Calibri" w:cs="Calibri"/>
          <w:b/>
          <w:bCs/>
        </w:rPr>
        <w:t xml:space="preserve"> ПРИНЯТЬ УЧАСТИЕ В </w:t>
      </w: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НАПРАВЛЕНЫ</w:t>
      </w:r>
      <w:proofErr w:type="gramEnd"/>
      <w:r>
        <w:rPr>
          <w:rFonts w:ascii="Calibri" w:hAnsi="Calibri" w:cs="Calibri"/>
          <w:b/>
          <w:bCs/>
        </w:rPr>
        <w:t xml:space="preserve"> ДО 1 ЯНВАРЯ 2014 ГОДА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вступлением с 1 января 2014 года в силу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Минэкономразвития России и ФАС России доводит позицию по порядку применения законодательства Российской Федерации в отношении торгов, запроса котировок, извещения об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которых размещены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либо приглашения принять участие в которых направлены до 1 января 2014 года.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Частью 1 статьи 112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указанный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rPr>
          <w:rFonts w:ascii="Calibri" w:hAnsi="Calibri" w:cs="Calibri"/>
        </w:rPr>
        <w:t>участие</w:t>
      </w:r>
      <w:proofErr w:type="gramEnd"/>
      <w:r>
        <w:rPr>
          <w:rFonts w:ascii="Calibri" w:hAnsi="Calibri" w:cs="Calibri"/>
        </w:rPr>
        <w:t xml:space="preserve"> в которых направлены после дня вступления в силу указанного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. К отношениям, возникшим до дня вступления в силу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системе, он применяется в части прав и обязанностей, которые возникнут после дня его вступления в силу, если иное не предусмотрено </w:t>
      </w:r>
      <w:hyperlink r:id="rId9" w:history="1">
        <w:r>
          <w:rPr>
            <w:rFonts w:ascii="Calibri" w:hAnsi="Calibri" w:cs="Calibri"/>
            <w:color w:val="0000FF"/>
          </w:rPr>
          <w:t>статьей 112</w:t>
        </w:r>
      </w:hyperlink>
      <w:r>
        <w:rPr>
          <w:rFonts w:ascii="Calibri" w:hAnsi="Calibri" w:cs="Calibri"/>
        </w:rPr>
        <w:t xml:space="preserve"> Закона о контрактной системе.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системе, сохраняют свою силу.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определение поставщиков (исполнителей, подрядчиков) в целях заключения с ними государственных или муниципальных контрактов, а также гражданско-правовых договоров бюджетных учреждений осуществляется в порядке и на условиях, предусмотренных документацией</w:t>
      </w:r>
      <w:proofErr w:type="gramEnd"/>
      <w:r>
        <w:rPr>
          <w:rFonts w:ascii="Calibri" w:hAnsi="Calibri" w:cs="Calibri"/>
        </w:rPr>
        <w:t xml:space="preserve"> о торгах, извещением о запросе котировок и завершается заключением контракта либо заключением гражданско-правового договора.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по мнению Минэкономразвития России и ФАС России, размещение заказов,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на Официальном сайте </w:t>
      </w:r>
      <w:r>
        <w:rPr>
          <w:rFonts w:ascii="Calibri" w:hAnsi="Calibri" w:cs="Calibri"/>
        </w:rPr>
        <w:lastRenderedPageBreak/>
        <w:t xml:space="preserve">либо приглашения принять участие в которых направлены до 1 января 2014 года, осуществляется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размещении заказов, в том числе при: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принятии</w:t>
      </w:r>
      <w:proofErr w:type="gramEnd"/>
      <w:r>
        <w:rPr>
          <w:rFonts w:ascii="Calibri" w:hAnsi="Calibri" w:cs="Calibri"/>
        </w:rPr>
        <w:t xml:space="preserve"> решений о внесении изменений в конкурсную документацию, документацию об аукционе, отказе от проведения торгов;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разъяснении</w:t>
      </w:r>
      <w:proofErr w:type="gramEnd"/>
      <w:r>
        <w:rPr>
          <w:rFonts w:ascii="Calibri" w:hAnsi="Calibri" w:cs="Calibri"/>
        </w:rPr>
        <w:t xml:space="preserve"> положений документации о торгах;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допуска либо отказа в допуске к участию в торгах, определении победителя торгов, запроса котировок;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заключении</w:t>
      </w:r>
      <w:proofErr w:type="gramEnd"/>
      <w:r>
        <w:rPr>
          <w:rFonts w:ascii="Calibri" w:hAnsi="Calibri" w:cs="Calibri"/>
        </w:rPr>
        <w:t xml:space="preserve"> контрактов, согласовании заключения контракта с единственным поставщиком, в случае, если размещение заказа признано несостоявшимся;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осуществлении</w:t>
      </w:r>
      <w:proofErr w:type="gramEnd"/>
      <w:r>
        <w:rPr>
          <w:rFonts w:ascii="Calibri" w:hAnsi="Calibri" w:cs="Calibri"/>
        </w:rPr>
        <w:t xml:space="preserve"> контроля за соблюдением законодательства Российской Федерации о размещении заказов.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антимонопольной службы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А.В.ДОЦЕНКО</w:t>
      </w: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3E1C" w:rsidRDefault="00AF3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3E1C" w:rsidRDefault="00AF3E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4A6D" w:rsidRDefault="004E4A6D"/>
    <w:sectPr w:rsidR="004E4A6D" w:rsidSect="00D1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AF3E1C"/>
    <w:rsid w:val="004E4A6D"/>
    <w:rsid w:val="00823E8E"/>
    <w:rsid w:val="00A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EFF8EE31CAE6C75FD494DA00E67540AB665C39A9F5EA62EEDB3E8E0D3EB6I5y3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DCACE720D00F23C7F4EFF8EE31CAE6C75FD494DA00E67540AB665C39A9F5EA62EEDB3E8E0D3EB6I5y3K" TargetMode="External"/><Relationship Id="rId12" Type="http://schemas.openxmlformats.org/officeDocument/2006/relationships/hyperlink" Target="consultantplus://offline/ref=DADCACE720D00F23C7F4EFF8EE31CAE6C75EDB9CD007E67540AB665C39IAy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DCACE720D00F23C7F4EFF8EE31CAE6C75FD494DA00E67540AB665C39IAy9K" TargetMode="External"/><Relationship Id="rId11" Type="http://schemas.openxmlformats.org/officeDocument/2006/relationships/hyperlink" Target="consultantplus://offline/ref=DADCACE720D00F23C7F4EFF8EE31CAE6C75EDB9CD007E67540AB665C39IAy9K" TargetMode="External"/><Relationship Id="rId5" Type="http://schemas.openxmlformats.org/officeDocument/2006/relationships/hyperlink" Target="consultantplus://offline/ref=DADCACE720D00F23C7F4EFF8EE31CAE6C75FD494DA00E67540AB665C39A9F5EA62EEDB3E8E0D3EB0I5y7K" TargetMode="External"/><Relationship Id="rId10" Type="http://schemas.openxmlformats.org/officeDocument/2006/relationships/hyperlink" Target="consultantplus://offline/ref=DADCACE720D00F23C7F4EFF8EE31CAE6C75FD494DA00E67540AB665C39A9F5EA62EEDB3E8E0D3EB6I5y3K" TargetMode="External"/><Relationship Id="rId4" Type="http://schemas.openxmlformats.org/officeDocument/2006/relationships/hyperlink" Target="consultantplus://offline/ref=DADCACE720D00F23C7F4EFF8EE31CAE6C75FD494DA00E67540AB665C39A9F5EA62EEDB3E8E0D3EB6I5y3K" TargetMode="External"/><Relationship Id="rId9" Type="http://schemas.openxmlformats.org/officeDocument/2006/relationships/hyperlink" Target="consultantplus://offline/ref=DADCACE720D00F23C7F4EFF8EE31CAE6C75FD494DA00E67540AB665C39A9F5EA62EEDB3E8E0D3EB0I5y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Company>DK MFRT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2014-02-05T10:50:00Z</dcterms:created>
  <dcterms:modified xsi:type="dcterms:W3CDTF">2014-02-05T10:51:00Z</dcterms:modified>
</cp:coreProperties>
</file>