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B02A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11812" w:rsidRPr="00B67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39A" w:rsidRPr="00B67B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5815" w:rsidRPr="004B1A1B" w:rsidRDefault="00EF5815" w:rsidP="00CB02A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bookmarkEnd w:id="0"/>
            <w:r w:rsidR="00E16550">
              <w:rPr>
                <w:rFonts w:ascii="Times New Roman" w:hAnsi="Times New Roman" w:cs="Times New Roman"/>
                <w:sz w:val="24"/>
                <w:szCs w:val="24"/>
              </w:rPr>
              <w:t>на плановый период 202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84011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EA72A8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5811E2" w:rsidRDefault="005811E2" w:rsidP="00EF5815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8331DD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D84011" w:rsidRPr="008331DD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B190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B190F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осуществл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ние управленч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ских расходов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4 263,0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3 918,5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6 454,3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6 097,9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4 386,4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4 041,9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4 724,9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4 380,4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4 437,8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4 093,3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5 229,0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4 884,5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5 003,8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4 967,7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4 623,2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4 745,7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4 059,1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3 714,6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4 882,0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4 525,6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5 126,5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4 782,0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5 309,4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5 112,8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4 756,4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4 642,7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4 298,2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5 141,7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4 797,2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4 973,3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4 628,8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5 442,9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5 086,5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4 333,9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5 181,0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4 810,5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4 098,1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3 753,6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4 490,3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4 145,8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5 608,0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5 263,5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4 291,0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3 946,5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5 016,3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5 372,0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5 027,5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4 657,4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4 312,9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3 926,8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5 320,2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4 975,7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8 465,3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8 094,8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4 189,2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3 844,7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5 198,9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4 842,5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4 836,8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4 492,3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4 943,7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4 599,2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4 777,4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4 432,9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4 396,5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4 052,0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4 619,2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4 274,7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5 178,9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4 808,4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4 681,1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4 336,6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4 768,9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5 481,9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5 125,5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356,4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4 132,7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3 788,2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10 286,1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9 882,5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403,6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28 168,0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23 903,2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4 264,8</w:t>
            </w:r>
          </w:p>
        </w:tc>
      </w:tr>
      <w:tr w:rsidR="00405DAE" w:rsidRPr="00405DAE" w:rsidTr="00405DAE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05DAE" w:rsidRPr="00F27CB7" w:rsidRDefault="00405DAE" w:rsidP="004B466B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252 067,3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232 374,3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5DAE">
              <w:rPr>
                <w:color w:val="000000"/>
                <w:sz w:val="24"/>
                <w:szCs w:val="24"/>
              </w:rPr>
              <w:t>19 693,0</w:t>
            </w:r>
          </w:p>
        </w:tc>
      </w:tr>
    </w:tbl>
    <w:p w:rsidR="00D84011" w:rsidRDefault="00D84011" w:rsidP="00405DAE">
      <w:pPr>
        <w:ind w:right="-1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B3384" w:rsidRPr="002C08A3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B3384" w:rsidRPr="00C94B55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D84011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E16550">
        <w:rPr>
          <w:szCs w:val="28"/>
        </w:rPr>
        <w:t>2</w:t>
      </w:r>
      <w:r w:rsidR="00EA72A8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E16550">
        <w:rPr>
          <w:szCs w:val="28"/>
        </w:rPr>
        <w:t>2</w:t>
      </w:r>
      <w:r w:rsidR="00EA72A8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9B190F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A72A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E16550">
              <w:rPr>
                <w:rFonts w:ascii="Times New Roman" w:hAnsi="Times New Roman" w:cs="Times New Roman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A72A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960DB">
              <w:rPr>
                <w:rFonts w:ascii="Times New Roman" w:hAnsi="Times New Roman" w:cs="Times New Roman"/>
                <w:szCs w:val="24"/>
              </w:rPr>
              <w:t>2</w:t>
            </w:r>
            <w:r w:rsidR="00EA72A8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8331DD" w:rsidTr="009B190F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3 934,0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6 467,7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6 097,9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6 482,0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6 097,9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4 041,9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4 413,2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4 041,9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4 382,5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4 756,1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4 384,8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Алексеевский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4 454,3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4 096,8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4 100,5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4 894,6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5 389,8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5 406,3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4 624,4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4 625,6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Арский муниц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5 103,2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4 085,9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4 915,8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4 567,7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5 139,5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4 782,0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5 153,3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4 782,0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5 693,5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5 309,4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4 763,2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5 154,5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4 770,4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4 661,1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4 680,6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5 180,0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5 470,6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5 086,5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4 721,1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4 337,0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4 818,2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5 225,8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4 826,4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3 756,1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4 130,1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3 758,8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4 149,3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4 524,3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4 153,0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5 634,8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5 263,5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4 317,8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5 023,4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5 390,8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5 410,8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5 039,5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4 324,5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3 929,8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3 933,0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5 333,2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5 347,0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8 488,9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8 104,4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8 514,0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8 114,6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3 844,7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4 216,0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3 844,7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4 849,2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5 240,5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4 856,4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4 279,3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4 863,6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Сабинский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4 601,2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4 974,7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4 603,4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4 790,6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Спасский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4 057,2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4 062,8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4 661,1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4 289,8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5 193,9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5 209,9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4 810,5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399,4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4 694,1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4 707,9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4 336,6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Черемшанский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4 786,3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4 428,8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4 804,8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4 433,5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5 495,3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5 125,5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369,8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5 509,6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5 125,5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384,1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3 790,0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4 163,3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3 792,0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371,3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Набере</w:t>
            </w:r>
            <w:r w:rsidRPr="00405DAE">
              <w:rPr>
                <w:color w:val="000000"/>
                <w:sz w:val="22"/>
                <w:szCs w:val="22"/>
              </w:rPr>
              <w:t>ж</w:t>
            </w:r>
            <w:r w:rsidRPr="00405DAE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10 311,3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9 892,4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418,9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10 338,1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9 902,9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28 413,1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23 986,4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4 426,7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28 674,3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24 075,0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4 599,3</w:t>
            </w:r>
          </w:p>
        </w:tc>
      </w:tr>
      <w:tr w:rsidR="00405DAE" w:rsidRPr="00405DAE" w:rsidTr="00405DAE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5DAE" w:rsidRPr="00405DAE" w:rsidRDefault="00405DAE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253 053,8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232 617,0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20 436,8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254 103,6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232 875,6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DAE" w:rsidRPr="00405DAE" w:rsidRDefault="00405DAE" w:rsidP="00405DAE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21 228,0</w:t>
            </w:r>
          </w:p>
        </w:tc>
      </w:tr>
    </w:tbl>
    <w:p w:rsidR="000B7CEC" w:rsidRDefault="000B7CEC" w:rsidP="008331DD"/>
    <w:sectPr w:rsidR="000B7CEC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C3" w:rsidRDefault="003E6FC3" w:rsidP="0070522B">
      <w:r>
        <w:separator/>
      </w:r>
    </w:p>
  </w:endnote>
  <w:endnote w:type="continuationSeparator" w:id="0">
    <w:p w:rsidR="003E6FC3" w:rsidRDefault="003E6FC3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C3" w:rsidRDefault="003E6FC3" w:rsidP="0070522B">
      <w:r>
        <w:separator/>
      </w:r>
    </w:p>
  </w:footnote>
  <w:footnote w:type="continuationSeparator" w:id="0">
    <w:p w:rsidR="003E6FC3" w:rsidRDefault="003E6FC3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22B" w:rsidRPr="0070522B" w:rsidRDefault="0070522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CB02A7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:rsidR="0070522B" w:rsidRDefault="00705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39A"/>
    <w:rsid w:val="000B7CEC"/>
    <w:rsid w:val="001D041A"/>
    <w:rsid w:val="002B076E"/>
    <w:rsid w:val="00315506"/>
    <w:rsid w:val="003E6FC3"/>
    <w:rsid w:val="00405DAE"/>
    <w:rsid w:val="004960DB"/>
    <w:rsid w:val="004B599A"/>
    <w:rsid w:val="005811E2"/>
    <w:rsid w:val="0070522B"/>
    <w:rsid w:val="008331DD"/>
    <w:rsid w:val="009B3384"/>
    <w:rsid w:val="00A55AF3"/>
    <w:rsid w:val="00A67B7A"/>
    <w:rsid w:val="00AE1F40"/>
    <w:rsid w:val="00B11812"/>
    <w:rsid w:val="00B67BFD"/>
    <w:rsid w:val="00B727C3"/>
    <w:rsid w:val="00C13422"/>
    <w:rsid w:val="00CB02A7"/>
    <w:rsid w:val="00D84011"/>
    <w:rsid w:val="00DC6AE0"/>
    <w:rsid w:val="00E16550"/>
    <w:rsid w:val="00EA72A8"/>
    <w:rsid w:val="00ED4DC3"/>
    <w:rsid w:val="00EF5815"/>
    <w:rsid w:val="00F27CB7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26</cp:revision>
  <cp:lastPrinted>2016-09-27T06:51:00Z</cp:lastPrinted>
  <dcterms:created xsi:type="dcterms:W3CDTF">2016-09-14T11:16:00Z</dcterms:created>
  <dcterms:modified xsi:type="dcterms:W3CDTF">2019-11-17T10:32:00Z</dcterms:modified>
</cp:coreProperties>
</file>