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RPr="002474D9" w:rsidTr="004E78EF">
        <w:trPr>
          <w:jc w:val="right"/>
        </w:trPr>
        <w:tc>
          <w:tcPr>
            <w:tcW w:w="3084" w:type="dxa"/>
          </w:tcPr>
          <w:p w:rsidR="00EF5815" w:rsidRPr="002474D9" w:rsidRDefault="00EF5815" w:rsidP="006E1F3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C5C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5815" w:rsidRPr="002474D9" w:rsidRDefault="00EF5815" w:rsidP="006E1F3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171E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4D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7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2474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Pr="002474D9">
        <w:rPr>
          <w:b w:val="0"/>
          <w:bCs w:val="0"/>
          <w:sz w:val="24"/>
        </w:rPr>
        <w:tab/>
      </w:r>
      <w:r w:rsidR="001D041A" w:rsidRPr="002474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474D9" w:rsidRDefault="00EF5815" w:rsidP="00EF5815">
      <w:pPr>
        <w:rPr>
          <w:szCs w:val="28"/>
        </w:rPr>
      </w:pPr>
    </w:p>
    <w:p w:rsidR="002F489A" w:rsidRPr="007700EF" w:rsidRDefault="002F489A" w:rsidP="002F4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00EF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2F489A" w:rsidRPr="007700EF" w:rsidRDefault="002F489A" w:rsidP="002F4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00EF">
        <w:rPr>
          <w:rFonts w:ascii="Times New Roman" w:hAnsi="Times New Roman" w:cs="Times New Roman"/>
          <w:sz w:val="28"/>
          <w:szCs w:val="28"/>
        </w:rPr>
        <w:t xml:space="preserve">получаемые от других бюджетов бюджетной системы Российской Федерации, и безвозмездные поступления от государственной корпорации – </w:t>
      </w:r>
    </w:p>
    <w:p w:rsidR="002F489A" w:rsidRPr="007700EF" w:rsidRDefault="002F489A" w:rsidP="002F4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00EF">
        <w:rPr>
          <w:rFonts w:ascii="Times New Roman" w:hAnsi="Times New Roman" w:cs="Times New Roman"/>
          <w:sz w:val="28"/>
          <w:szCs w:val="28"/>
        </w:rPr>
        <w:t xml:space="preserve">Фонда содействия реформированию жилищно-коммунального хозяйства и некоммерческой организации «Фонд развития моногородов» </w:t>
      </w:r>
    </w:p>
    <w:p w:rsidR="002F489A" w:rsidRPr="0064714C" w:rsidRDefault="002F489A" w:rsidP="002F4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00EF">
        <w:rPr>
          <w:rFonts w:ascii="Times New Roman" w:hAnsi="Times New Roman" w:cs="Times New Roman"/>
          <w:sz w:val="28"/>
          <w:szCs w:val="28"/>
        </w:rPr>
        <w:t>в 2020 году</w:t>
      </w:r>
    </w:p>
    <w:p w:rsidR="00EF5815" w:rsidRPr="002474D9" w:rsidRDefault="00EF5815" w:rsidP="00AB62D8">
      <w:pPr>
        <w:jc w:val="center"/>
        <w:rPr>
          <w:szCs w:val="28"/>
        </w:rPr>
      </w:pPr>
    </w:p>
    <w:p w:rsidR="00AB62D8" w:rsidRPr="00C222B6" w:rsidRDefault="00AB62D8" w:rsidP="00AB62D8">
      <w:pPr>
        <w:jc w:val="center"/>
        <w:rPr>
          <w:sz w:val="24"/>
          <w:szCs w:val="24"/>
        </w:rPr>
      </w:pPr>
    </w:p>
    <w:p w:rsidR="00EF5815" w:rsidRPr="002474D9" w:rsidRDefault="00EF5815" w:rsidP="00EF5815">
      <w:pPr>
        <w:ind w:right="-1"/>
        <w:jc w:val="right"/>
        <w:rPr>
          <w:sz w:val="24"/>
          <w:szCs w:val="24"/>
        </w:rPr>
      </w:pP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</w:r>
      <w:r w:rsidRPr="002474D9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962"/>
        <w:gridCol w:w="3118"/>
        <w:gridCol w:w="2268"/>
      </w:tblGrid>
      <w:tr w:rsidR="00AB62D8" w:rsidRPr="00540596" w:rsidTr="00AB62D8">
        <w:trPr>
          <w:trHeight w:val="2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540596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540596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540596" w:rsidRDefault="00AB62D8" w:rsidP="00AB62D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Сумма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2 00 00000 00 0000 000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40 987 527,8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40 748 336,2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2 02 20000 00 0000 150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15 428 564,2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2 02 25008 02 0000 150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4 250,3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2 02 25013 02 0000 150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716 225,2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мероприятия федеральной целевой программы «Развитие водохозяйственного комплекса Российской Федерации в 2012 – 2020 годах»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2 02 25016 02 0000 150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109 535,1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стимулированию </w:t>
            </w:r>
            <w:proofErr w:type="gramStart"/>
            <w:r w:rsidRPr="002F489A">
              <w:rPr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2 02 25021 02 0000 150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997 586,7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2 02 25027 02 0000 150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9 619,2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подготовку управленческих </w:t>
            </w:r>
            <w:r w:rsidRPr="002F489A">
              <w:rPr>
                <w:sz w:val="24"/>
                <w:szCs w:val="24"/>
              </w:rPr>
              <w:lastRenderedPageBreak/>
              <w:t>кадров для организаций народного хозяйства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2 02 25066 02 0000 150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1 321,5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2 02 25081 02 0000 150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18 370,0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2 02 25082 02 0000 150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46 000,9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2 02 25086 02 0000 150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1 392,0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2 02 25097 02 0000 150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5 008,0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2 02 25113 02 0000 150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313 128,0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2 02 25114 02 0000 150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428 604,0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</w:t>
            </w:r>
            <w:r w:rsidRPr="002F489A">
              <w:rPr>
                <w:sz w:val="24"/>
                <w:szCs w:val="24"/>
              </w:rPr>
              <w:lastRenderedPageBreak/>
              <w:t>поселки, либо поселки городского типа, либо города с населением до 50 тыс. человек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2 02 25138 02 0000 150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76 705,0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2 02 25139 02 0000 150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316 810,8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2F489A">
              <w:rPr>
                <w:sz w:val="24"/>
                <w:szCs w:val="24"/>
              </w:rPr>
              <w:t>аккредитационных</w:t>
            </w:r>
            <w:proofErr w:type="spellEnd"/>
            <w:r w:rsidRPr="002F489A">
              <w:rPr>
                <w:sz w:val="24"/>
                <w:szCs w:val="24"/>
              </w:rPr>
              <w:t xml:space="preserve"> центров системы образования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2 02 25162 02 0000 150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70 021,3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2 02 25163 02 0000 150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2 02 25169 02 0000 150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38 002,3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2 02 25170 02 0000 150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186 295,4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ключевых центров развития детей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2 02 25175 02 0000 150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8 568,5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2 02 25187 02 0000 150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12 660,4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2 02 25189 02 0000 150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272 738,3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2 02 25201 02 0000 150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78 996,1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2 02 25202 02 0000 150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39 926,1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внедрение целевой модели </w:t>
            </w:r>
            <w:r w:rsidRPr="002F489A">
              <w:rPr>
                <w:sz w:val="24"/>
                <w:szCs w:val="24"/>
              </w:rPr>
              <w:lastRenderedPageBreak/>
              <w:t>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2 02 25210 02 0000 150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142 734,5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2 02 25219 02 0000 150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10 744,5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2 02 25228 02 0000 150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63 299,0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2 02 25229 02 0000 150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2 02 25232 02 0000 150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1 249 402,9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2 02 25239 02 0000 150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345 000,0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2 02 25242 02 0000 150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429 463,2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мобильных технопарков «</w:t>
            </w:r>
            <w:proofErr w:type="spellStart"/>
            <w:r w:rsidRPr="002F489A">
              <w:rPr>
                <w:sz w:val="24"/>
                <w:szCs w:val="24"/>
              </w:rPr>
              <w:t>Кванториум</w:t>
            </w:r>
            <w:proofErr w:type="spellEnd"/>
            <w:r w:rsidRPr="002F489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2 02 25247 02 0000 150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13 716,5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proofErr w:type="gramStart"/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создание дополнительных мест (групп)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</w:t>
            </w:r>
            <w:r w:rsidRPr="002F489A">
              <w:rPr>
                <w:sz w:val="24"/>
                <w:szCs w:val="24"/>
              </w:rPr>
              <w:lastRenderedPageBreak/>
              <w:t>детьми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2 02 25253 02 0000 150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16 189,6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2 02 25256 02 0000 150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7 540,0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2 02 25261 02 0000 150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203 800,0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2 02 25291 02 0000 150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2F489A">
              <w:rPr>
                <w:sz w:val="24"/>
                <w:szCs w:val="24"/>
              </w:rPr>
              <w:t>предпенсионного</w:t>
            </w:r>
            <w:proofErr w:type="spellEnd"/>
            <w:r w:rsidRPr="002F489A">
              <w:rPr>
                <w:sz w:val="24"/>
                <w:szCs w:val="24"/>
              </w:rPr>
              <w:t xml:space="preserve"> возраста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2 02 25294 02 0000 150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88 703,5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2 02 25299 02 0000 150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2 02 25402 02 0000 150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461 473,0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2 02 25404 02 0000 150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368 622,9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реализацию практик поддержки и развития </w:t>
            </w:r>
            <w:proofErr w:type="spellStart"/>
            <w:r w:rsidRPr="002F489A">
              <w:rPr>
                <w:sz w:val="24"/>
                <w:szCs w:val="24"/>
              </w:rPr>
              <w:t>волонтерства</w:t>
            </w:r>
            <w:proofErr w:type="spellEnd"/>
            <w:r w:rsidRPr="002F489A">
              <w:rPr>
                <w:sz w:val="24"/>
                <w:szCs w:val="24"/>
              </w:rPr>
              <w:t xml:space="preserve">, реализуемых в субъектах Российской Федерации, по итогам проведения Всероссийского конкурса лучших региональных практик поддержки </w:t>
            </w:r>
            <w:proofErr w:type="spellStart"/>
            <w:r w:rsidRPr="002F489A">
              <w:rPr>
                <w:sz w:val="24"/>
                <w:szCs w:val="24"/>
              </w:rPr>
              <w:t>волонтерства</w:t>
            </w:r>
            <w:proofErr w:type="spellEnd"/>
            <w:r w:rsidRPr="002F489A">
              <w:rPr>
                <w:sz w:val="24"/>
                <w:szCs w:val="24"/>
              </w:rPr>
              <w:t xml:space="preserve"> «Регион добрых дел»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2 02 25412 02 0000 150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8 372,3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</w:t>
            </w:r>
            <w:r w:rsidRPr="002F489A">
              <w:rPr>
                <w:sz w:val="24"/>
                <w:szCs w:val="24"/>
              </w:rPr>
              <w:lastRenderedPageBreak/>
              <w:t>Федерации на модернизацию театров юного зрителя и театров кукол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2 02 25456 02 0000 150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 xml:space="preserve">Субсидии бюджетам субъектов Российской Федерации на переобучение и повышение квалификации женщин </w:t>
            </w:r>
            <w:proofErr w:type="gramStart"/>
            <w:r w:rsidRPr="002F489A">
              <w:rPr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2F489A">
              <w:rPr>
                <w:sz w:val="24"/>
                <w:szCs w:val="24"/>
              </w:rPr>
              <w:t>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2 02 25461 02 0000 150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70 453,5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2 02 25462 02 0000 150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16 783,3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2 02 25466 02 0000 150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33 978,0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2 02 25480 02 0000 150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265 076,7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федеральной целевой программы «Развитие физической культуры и спорта в Российской Федерации на 2016 – 2020 годы»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2 02 25495 02 0000 150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34 183,4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2 02 25497 02 0000 150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13 342,5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стимулирование развития приоритетных </w:t>
            </w:r>
            <w:proofErr w:type="spellStart"/>
            <w:r w:rsidRPr="002F489A">
              <w:rPr>
                <w:sz w:val="24"/>
                <w:szCs w:val="24"/>
              </w:rPr>
              <w:t>подотраслей</w:t>
            </w:r>
            <w:proofErr w:type="spellEnd"/>
            <w:r w:rsidRPr="002F489A">
              <w:rPr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2 02 25502 02 0000 150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925 028,9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proofErr w:type="gramStart"/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2F489A">
              <w:rPr>
                <w:sz w:val="24"/>
                <w:szCs w:val="24"/>
              </w:rPr>
              <w:t>подотраслям</w:t>
            </w:r>
            <w:proofErr w:type="spellEnd"/>
            <w:r w:rsidRPr="002F489A">
              <w:rPr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2 02 25508 02 0000 150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1 384 430,3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2F489A">
              <w:rPr>
                <w:sz w:val="24"/>
                <w:szCs w:val="24"/>
              </w:rPr>
              <w:t>абилитации</w:t>
            </w:r>
            <w:proofErr w:type="spellEnd"/>
            <w:r w:rsidRPr="002F489A">
              <w:rPr>
                <w:sz w:val="24"/>
                <w:szCs w:val="24"/>
              </w:rPr>
              <w:t xml:space="preserve"> инвалидов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2 02 25514 02 0000 150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22 601,5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укреплению единства российской нации и </w:t>
            </w:r>
            <w:r w:rsidRPr="002F489A">
              <w:rPr>
                <w:sz w:val="24"/>
                <w:szCs w:val="24"/>
              </w:rPr>
              <w:lastRenderedPageBreak/>
              <w:t>этнокультурному развитию народов России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2 02 25516 02 0000 150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10 507,4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2 02 25517 02 0000 150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23 450,0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2 02 25519 02 0000 150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102 770,5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2 02 25520 02 0000 150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286 458,2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2 02 25527 02 0000 150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273 648,2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2 02 25538 02 0000 150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12 533,4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2 02 25539 02 0000 150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19 192,5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2 02 25554 02 0000 150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45 751,5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2 02 25555 02 0000 150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1 237 988,3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2 02 25568 02 0000 150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198 618,2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2 02 25569 02 0000 150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16 909,4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2 02 25576 02 0000 150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744 811,0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2F489A">
              <w:rPr>
                <w:sz w:val="24"/>
                <w:szCs w:val="24"/>
              </w:rPr>
              <w:t>сердечно-сосудистых</w:t>
            </w:r>
            <w:proofErr w:type="gramEnd"/>
            <w:r w:rsidRPr="002F489A">
              <w:rPr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2 02 25586 02 0000 150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200 715,0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2 02 27111 02 0000 150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979 463,0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2 02 27121 02 0000 150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16 067,0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2 02 27246 02 0000 150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592 000,0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2 02 27372 02 0000 150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260 766,4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</w:t>
            </w:r>
            <w:r w:rsidRPr="002F489A">
              <w:rPr>
                <w:sz w:val="24"/>
                <w:szCs w:val="24"/>
              </w:rPr>
              <w:lastRenderedPageBreak/>
              <w:t>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2 02 27384 02 0000 150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96 313,5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2 02 27576 02 0000 150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209 047,1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2 02 30000 00 0000 150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12 202 755,8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2F489A">
              <w:rPr>
                <w:sz w:val="24"/>
                <w:szCs w:val="24"/>
              </w:rPr>
              <w:t>контролю за</w:t>
            </w:r>
            <w:proofErr w:type="gramEnd"/>
            <w:r w:rsidRPr="002F489A">
              <w:rPr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2 02 35067 02 0000 150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506,9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2 02 35118 02 0000 150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94 192,5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2 02 35120 02 0000 150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2 251,0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2 02 35128 02 0000 150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22 994,2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2 02 35129 02 0000 150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393 269,4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2 02 35135 02 0000 150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104 472,8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2 02 35137 02 0000 150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63 028,9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2 02 35176 02 0000 150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88 177,7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2 02 35220 02 0000 150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181 361,9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2 02 35240 02 0000 150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208,2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2 02 35250 02 0000 150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3 187 785,8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2 02 35260 02 0000 150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30 219,0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2 02 35270 02 0000 150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11 514,3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2 02 35280 02 0000 150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2 644,5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2 02 35290 02 0000 150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828 991,6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</w:t>
            </w:r>
            <w:r w:rsidRPr="002F489A">
              <w:rPr>
                <w:sz w:val="24"/>
                <w:szCs w:val="24"/>
              </w:rPr>
              <w:lastRenderedPageBreak/>
              <w:t>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2 02 35380 02 0000 150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1 250 924,1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2F489A">
              <w:rPr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2 02 35429 02 0000 150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143 361,9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2F489A">
              <w:rPr>
                <w:sz w:val="24"/>
                <w:szCs w:val="24"/>
              </w:rPr>
              <w:t>лесовосстановлению</w:t>
            </w:r>
            <w:proofErr w:type="spellEnd"/>
            <w:r w:rsidRPr="002F489A">
              <w:rPr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2 02 35430 02 0000 150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4 812,2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2F489A">
              <w:rPr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2 02 35431 02 0000 150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2F489A">
              <w:rPr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2F489A">
              <w:rPr>
                <w:sz w:val="24"/>
                <w:szCs w:val="24"/>
              </w:rPr>
              <w:t xml:space="preserve"> </w:t>
            </w:r>
            <w:proofErr w:type="spellStart"/>
            <w:r w:rsidRPr="002F489A">
              <w:rPr>
                <w:sz w:val="24"/>
                <w:szCs w:val="24"/>
              </w:rPr>
              <w:t>лесопожарной</w:t>
            </w:r>
            <w:proofErr w:type="spellEnd"/>
            <w:r w:rsidRPr="002F489A">
              <w:rPr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2 02 35432 02 0000 150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2F489A">
              <w:rPr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2F489A">
              <w:rPr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2 02 35460 02 0000 150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1 232 675,2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2 02 35469 02 0000 150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60 437,4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2 02 35573 02 0000 150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4 141 153,7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2 02 35900 02 0000 150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308 266,0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2 02 40000 00 0000 150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13 117 016,2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Межбюджетные трансферты, передаваемые </w:t>
            </w:r>
            <w:r w:rsidRPr="002F489A">
              <w:rPr>
                <w:sz w:val="24"/>
                <w:szCs w:val="24"/>
              </w:rPr>
              <w:lastRenderedPageBreak/>
              <w:t>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2 02 45141 02 0000 150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2 659,0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2 02 45142 02 0000 150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351,5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2 02 45161 02 0000 150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2 02 45190 02 0000 150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2 02 45192 02 0000 150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257 948,8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2 02 45196 02 0000 150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27 396,0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proofErr w:type="gramStart"/>
            <w:r w:rsidRPr="002F489A">
              <w:rPr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2F489A">
              <w:rPr>
                <w:sz w:val="24"/>
                <w:szCs w:val="24"/>
              </w:rPr>
              <w:t>муковисцидозом</w:t>
            </w:r>
            <w:proofErr w:type="spellEnd"/>
            <w:r w:rsidRPr="002F489A">
              <w:rPr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F489A">
              <w:rPr>
                <w:sz w:val="24"/>
                <w:szCs w:val="24"/>
              </w:rPr>
              <w:t>гемолитико</w:t>
            </w:r>
            <w:proofErr w:type="spellEnd"/>
            <w:r w:rsidRPr="002F489A">
              <w:rPr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F489A">
              <w:rPr>
                <w:sz w:val="24"/>
                <w:szCs w:val="24"/>
              </w:rPr>
              <w:t>мукополисахаридозом</w:t>
            </w:r>
            <w:proofErr w:type="spellEnd"/>
            <w:r w:rsidRPr="002F489A">
              <w:rPr>
                <w:sz w:val="24"/>
                <w:szCs w:val="24"/>
              </w:rPr>
              <w:t xml:space="preserve"> I, II и VI типов, а также после трансплантации органов и (или</w:t>
            </w:r>
            <w:proofErr w:type="gramEnd"/>
            <w:r w:rsidRPr="002F489A">
              <w:rPr>
                <w:sz w:val="24"/>
                <w:szCs w:val="24"/>
              </w:rPr>
              <w:t>) тканей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2 02 45216 02 0000 150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осуществление государственной </w:t>
            </w:r>
            <w:r w:rsidRPr="002F489A">
              <w:rPr>
                <w:sz w:val="24"/>
                <w:szCs w:val="24"/>
              </w:rPr>
              <w:lastRenderedPageBreak/>
              <w:t>поддержки субъектов Российской Федерации – участников национального проекта «Повышение производительности труда и поддержка занятости»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2 02 45296 02 0000 150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2 02 45390 02 0000 150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340 000,0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2 02 45393 02 0000 150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2 602 000,0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Межбюджетные трансферты, передаваемые бюджетам субъектов Российской </w:t>
            </w:r>
            <w:proofErr w:type="gramStart"/>
            <w:r w:rsidRPr="002F489A">
              <w:rPr>
                <w:sz w:val="24"/>
                <w:szCs w:val="24"/>
              </w:rPr>
              <w:t>Федерации</w:t>
            </w:r>
            <w:proofErr w:type="gramEnd"/>
            <w:r w:rsidRPr="002F489A">
              <w:rPr>
                <w:sz w:val="24"/>
                <w:szCs w:val="24"/>
              </w:rPr>
              <w:t xml:space="preserve"> на 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2 02 45418 02 0000 150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2 02 45433 02 0000 150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2 342 864,5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2 02 45454 02 0000 150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2 02 45468 02 0000 150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2 02 45476 02 0000 150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2 02 45477 02 0000 150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5 772 913,0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lastRenderedPageBreak/>
              <w:t>Межбюджетные трансферты, получаемые от бюджета Пенсионного фонда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2 02 90000 00 0000 150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2 02 90071 02 0000 150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2 03 00000 00 0000 000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Безвозмездные поступления в бюджеты 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2 03 02040 02 0000 150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Безвозмездные поступления, получаемые от некоммерческой организации «Фонд развития моногородов»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167 483,5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2 04 00000 00 0000 000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167 483,5</w:t>
            </w:r>
          </w:p>
        </w:tc>
      </w:tr>
      <w:tr w:rsidR="002F489A" w:rsidRPr="002F489A" w:rsidTr="002F489A">
        <w:trPr>
          <w:trHeight w:val="276"/>
        </w:trPr>
        <w:tc>
          <w:tcPr>
            <w:tcW w:w="4962" w:type="dxa"/>
            <w:shd w:val="clear" w:color="auto" w:fill="auto"/>
            <w:vAlign w:val="center"/>
          </w:tcPr>
          <w:p w:rsidR="002F489A" w:rsidRPr="002F489A" w:rsidRDefault="002F489A" w:rsidP="008C6309">
            <w:pPr>
              <w:spacing w:after="40"/>
              <w:jc w:val="both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  <w:tc>
          <w:tcPr>
            <w:tcW w:w="311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center"/>
              <w:rPr>
                <w:sz w:val="24"/>
                <w:szCs w:val="24"/>
              </w:rPr>
            </w:pPr>
            <w:r w:rsidRPr="002F489A">
              <w:rPr>
                <w:sz w:val="24"/>
                <w:szCs w:val="24"/>
              </w:rPr>
              <w:t>2 04 02040 02 0000 150</w:t>
            </w:r>
          </w:p>
        </w:tc>
        <w:tc>
          <w:tcPr>
            <w:tcW w:w="2268" w:type="dxa"/>
            <w:shd w:val="clear" w:color="auto" w:fill="auto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167 483,5</w:t>
            </w:r>
          </w:p>
        </w:tc>
      </w:tr>
    </w:tbl>
    <w:p w:rsidR="004E78EF" w:rsidRDefault="004E78EF"/>
    <w:p w:rsidR="00FB4734" w:rsidRDefault="00FB4734">
      <w:r>
        <w:br w:type="page"/>
      </w:r>
    </w:p>
    <w:p w:rsidR="001D041A" w:rsidRPr="002474D9" w:rsidRDefault="001D041A" w:rsidP="001D041A">
      <w:pPr>
        <w:spacing w:line="360" w:lineRule="auto"/>
        <w:jc w:val="right"/>
        <w:rPr>
          <w:bCs/>
          <w:sz w:val="24"/>
        </w:rPr>
      </w:pPr>
      <w:r w:rsidRPr="002474D9">
        <w:rPr>
          <w:bCs/>
          <w:sz w:val="24"/>
        </w:rPr>
        <w:lastRenderedPageBreak/>
        <w:t>Таблица 2</w:t>
      </w:r>
    </w:p>
    <w:p w:rsidR="00AB62D8" w:rsidRPr="002474D9" w:rsidRDefault="00AB62D8" w:rsidP="002F489A">
      <w:pPr>
        <w:tabs>
          <w:tab w:val="center" w:pos="5102"/>
          <w:tab w:val="left" w:pos="8640"/>
        </w:tabs>
        <w:jc w:val="center"/>
        <w:rPr>
          <w:szCs w:val="28"/>
        </w:rPr>
      </w:pPr>
      <w:r w:rsidRPr="002474D9">
        <w:rPr>
          <w:szCs w:val="28"/>
        </w:rPr>
        <w:t>Межбюджетные трансферты,</w:t>
      </w:r>
    </w:p>
    <w:p w:rsidR="00AB62D8" w:rsidRPr="002474D9" w:rsidRDefault="00AB62D8" w:rsidP="002F489A">
      <w:pPr>
        <w:pStyle w:val="ConsPlusNormal"/>
        <w:widowControl/>
        <w:ind w:firstLine="0"/>
        <w:jc w:val="center"/>
        <w:rPr>
          <w:sz w:val="28"/>
          <w:szCs w:val="28"/>
        </w:rPr>
      </w:pPr>
      <w:proofErr w:type="gramStart"/>
      <w:r w:rsidRPr="002474D9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2474D9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</w:p>
    <w:p w:rsidR="001D041A" w:rsidRPr="002474D9" w:rsidRDefault="00AB62D8" w:rsidP="002F489A">
      <w:pPr>
        <w:jc w:val="center"/>
        <w:rPr>
          <w:szCs w:val="28"/>
        </w:rPr>
      </w:pPr>
      <w:r w:rsidRPr="00C222B6">
        <w:rPr>
          <w:szCs w:val="28"/>
        </w:rPr>
        <w:t>в плановом периоде 20</w:t>
      </w:r>
      <w:r w:rsidR="00AF4F51" w:rsidRPr="00C222B6">
        <w:rPr>
          <w:szCs w:val="28"/>
        </w:rPr>
        <w:t>2</w:t>
      </w:r>
      <w:r w:rsidR="0027145A" w:rsidRPr="00C222B6">
        <w:rPr>
          <w:szCs w:val="28"/>
        </w:rPr>
        <w:t>1</w:t>
      </w:r>
      <w:r w:rsidRPr="00C222B6">
        <w:rPr>
          <w:szCs w:val="28"/>
        </w:rPr>
        <w:t xml:space="preserve"> и 20</w:t>
      </w:r>
      <w:r w:rsidR="00E5138C" w:rsidRPr="00C222B6">
        <w:rPr>
          <w:szCs w:val="28"/>
        </w:rPr>
        <w:t>2</w:t>
      </w:r>
      <w:r w:rsidR="0027145A" w:rsidRPr="00C222B6">
        <w:rPr>
          <w:szCs w:val="28"/>
        </w:rPr>
        <w:t>2</w:t>
      </w:r>
      <w:r w:rsidRPr="00C222B6">
        <w:rPr>
          <w:szCs w:val="28"/>
        </w:rPr>
        <w:t xml:space="preserve"> годов</w:t>
      </w:r>
    </w:p>
    <w:p w:rsidR="00AB62D8" w:rsidRPr="002474D9" w:rsidRDefault="00AB62D8" w:rsidP="00AB62D8">
      <w:pPr>
        <w:jc w:val="center"/>
        <w:rPr>
          <w:szCs w:val="28"/>
        </w:rPr>
      </w:pPr>
    </w:p>
    <w:p w:rsidR="001D041A" w:rsidRPr="002474D9" w:rsidRDefault="001D041A" w:rsidP="001D041A">
      <w:pPr>
        <w:jc w:val="right"/>
        <w:rPr>
          <w:sz w:val="24"/>
          <w:szCs w:val="24"/>
        </w:rPr>
      </w:pPr>
      <w:r w:rsidRPr="002474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07" w:type="dxa"/>
        <w:tblInd w:w="-601" w:type="dxa"/>
        <w:tblLook w:val="0000" w:firstRow="0" w:lastRow="0" w:firstColumn="0" w:lastColumn="0" w:noHBand="0" w:noVBand="0"/>
      </w:tblPr>
      <w:tblGrid>
        <w:gridCol w:w="3828"/>
        <w:gridCol w:w="2835"/>
        <w:gridCol w:w="1843"/>
        <w:gridCol w:w="1701"/>
      </w:tblGrid>
      <w:tr w:rsidR="00AB62D8" w:rsidRPr="00540596" w:rsidTr="00171E06">
        <w:trPr>
          <w:trHeight w:val="264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2D8" w:rsidRPr="00540596" w:rsidRDefault="00AB62D8" w:rsidP="00AB62D8">
            <w:pPr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540596" w:rsidRDefault="00AB62D8" w:rsidP="00AB62D8">
            <w:pPr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Код дохода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540596" w:rsidRDefault="00AB62D8" w:rsidP="004E78EF">
            <w:pPr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Сумма</w:t>
            </w:r>
          </w:p>
        </w:tc>
      </w:tr>
      <w:tr w:rsidR="00AB62D8" w:rsidRPr="00540596" w:rsidTr="00171E06">
        <w:trPr>
          <w:trHeight w:val="264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540596" w:rsidRDefault="00AB62D8" w:rsidP="004E78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540596" w:rsidRDefault="00AB62D8" w:rsidP="001D0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540596" w:rsidRDefault="00AB62D8" w:rsidP="0027145A">
            <w:pPr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20</w:t>
            </w:r>
            <w:r w:rsidR="00AF4F51" w:rsidRPr="00540596">
              <w:rPr>
                <w:sz w:val="24"/>
                <w:szCs w:val="24"/>
              </w:rPr>
              <w:t>2</w:t>
            </w:r>
            <w:r w:rsidR="0027145A" w:rsidRPr="00540596">
              <w:rPr>
                <w:sz w:val="24"/>
                <w:szCs w:val="24"/>
              </w:rPr>
              <w:t>1</w:t>
            </w:r>
            <w:r w:rsidRPr="0054059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2D8" w:rsidRPr="00540596" w:rsidRDefault="00AB62D8" w:rsidP="0027145A">
            <w:pPr>
              <w:jc w:val="center"/>
              <w:rPr>
                <w:sz w:val="24"/>
                <w:szCs w:val="24"/>
              </w:rPr>
            </w:pPr>
            <w:r w:rsidRPr="00540596">
              <w:rPr>
                <w:sz w:val="24"/>
                <w:szCs w:val="24"/>
              </w:rPr>
              <w:t>20</w:t>
            </w:r>
            <w:r w:rsidR="00E5138C" w:rsidRPr="00540596">
              <w:rPr>
                <w:sz w:val="24"/>
                <w:szCs w:val="24"/>
              </w:rPr>
              <w:t>2</w:t>
            </w:r>
            <w:r w:rsidR="0027145A" w:rsidRPr="00540596">
              <w:rPr>
                <w:sz w:val="24"/>
                <w:szCs w:val="24"/>
              </w:rPr>
              <w:t>2</w:t>
            </w:r>
            <w:r w:rsidRPr="00540596">
              <w:rPr>
                <w:sz w:val="24"/>
                <w:szCs w:val="24"/>
              </w:rPr>
              <w:t xml:space="preserve"> год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39 629 759,4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38 441 297,1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39 629 759,4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38 441 297,1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12 428 552,4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11 460 438,8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2 02 25013 02 0000 150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1 389 784,8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1 669 556,0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520 492,6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1 321,5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1 354,5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18 370,0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18 963,5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1 392,0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1 440,0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2 02 25097 02 0000 150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5 008,0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5 329,8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119 858,0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175 652,0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78 300,0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94 350,0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2 02 25139 02 0000 150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147 983,1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209 341,7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аккредитационных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центров системы образования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2 02 25162 02 0000 150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20 769,3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98 532,5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80 854,1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2 02 25169 02 0000 150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68 462,3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78 410,1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детских технопарков «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2 02 25173 02 0000 150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59 268,4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11 829,4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12 777,1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78 996,1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81 471,5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39 926,1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41 084,3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14 993,3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14 997,3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14 997,3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10 061,4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57 100,3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2 02 25232 02 0000 150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1 485 416,7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2 02 25243 02 0000 150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167 696,2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237 603,9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создание мобильных технопарков «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2 02 25247 02 0000 150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13 452,5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2 02 25256 02 0000 150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6 380,0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мероприятия по развитию рынка газомоторного топлива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195 067,0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201 793,0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2 02 25291 02 0000 150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4 455,0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4 050,0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2 02 25294 02 0000 150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88 703,5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88 703,5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 на обустройство и восстановление воинских захоронений, находящихся в государственной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2 02 25299 02 0000 150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23 492,5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34,6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2 02 25251 02 0000 150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125 000,0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461 473,0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461 473,0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368 622,9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368 622,9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переобучение и повышение квалификации женщин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>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2 02 25461 02 0000 150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70 453,5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91 538,6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16 598,6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16 649,6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населенных пунктах с численностью населения до 300 тысяч человек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2 02 25466 02 0000 150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33 978,0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33 978,0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284 493,8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296 931,7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17 457,8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22 504,5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2 02 25500 02 0000 150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474 800,0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909 278,7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стимулирование развития приоритетных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936 992,9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939 796,8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1 318 652,1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1 321 405,3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в сфере реабилитации и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2 02 25514 02 0000 150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22 601,5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23 148,4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23 450,0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23 450,0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36 612,9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87 602,5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2 02 25520 02 0000 150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233 071,4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233 071,5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224 947,3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789 356,1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39 785,1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40 946,1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1 237 988,3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1 290 723,4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122 756,0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134 302,0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2 02 25569 02 0000 150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14 327,8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12 000,2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2 02 25576 02 0000 150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412 485,1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540 707,3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200 715,0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200 715,0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2 02 27246 02 0000 150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592 000,0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2 02 27372 02 0000 150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107 881,2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112 555,0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2 02 27384 02 0000 150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244 146,5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141 005,6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Субсидии бюджетам субъектов Российской Федерации на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2 02 27576 02 0000 150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293 076,2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116 985,4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12 433 842,6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13 046 057,9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транспорта и правил пользования внеуличным транспортом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2 02 35067 02 0000 150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506,9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506,9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19 580,0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98 620,0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94 193,2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95 667,5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19 028,9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24 636,9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24 636,9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336 422,4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364 050,3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104 428,0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104 358,4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2 02 35137 02 0000 150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65 146,8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67 333,3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2 02 35176 02 0000 150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88 164,1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88 093,6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188 607,0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196 150,4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242,3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3 187 675,7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3 187 604,4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2 02 35260 02 0000 150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32 684,9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2 02 35270 02 0000 150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11 870,4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12 335,4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выплаты инвалидам компенсаций страховых премий по договорам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2 02 35280 02 0000 150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2 644,5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2 644,5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830 657,3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832 477,2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2 02 35380 02 0000 150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1 289 213,9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1 339 699,0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135 824,9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140 058,0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2 02 35430 02 0000 150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5 153,8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2 748,1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9 517,4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8 325,4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лесов от пожаров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2 02 35432 02 0000 150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32 480,3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75 776,2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1 232 675,2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4 483 447,8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4 855 780,2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            г. Байконура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256 940,8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264 560,9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14 767 364,4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13 934 800,4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454 617,7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2 02 45190 02 0000 150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422 990,0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2 02 45192 02 0000 150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323 394,6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 xml:space="preserve">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F489A">
              <w:rPr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2F489A">
              <w:rPr>
                <w:bCs/>
                <w:color w:val="000000"/>
                <w:sz w:val="24"/>
                <w:szCs w:val="24"/>
              </w:rPr>
              <w:t xml:space="preserve"> I, II и VI типов, а также после трансплантации органов и (или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>) тканей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2 02 45216 02 0000 150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осуществление государственной поддержки субъектов Российской Федерации – участников национального проекта «Повышение производительности труда и поддержка занятости»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2 02 45296 02 0000 150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38 292,0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74 676,7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2 02 45393 02 0000 150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2 112 000,0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</w:t>
            </w:r>
            <w:proofErr w:type="gramStart"/>
            <w:r w:rsidRPr="002F489A">
              <w:rPr>
                <w:bCs/>
                <w:color w:val="000000"/>
                <w:sz w:val="24"/>
                <w:szCs w:val="24"/>
              </w:rPr>
              <w:t>Федерации</w:t>
            </w:r>
            <w:proofErr w:type="gramEnd"/>
            <w:r w:rsidRPr="002F489A">
              <w:rPr>
                <w:bCs/>
                <w:color w:val="000000"/>
                <w:sz w:val="24"/>
                <w:szCs w:val="24"/>
              </w:rPr>
              <w:t xml:space="preserve"> на 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2 02 45418 02 0000 150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370 000,0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возмещение части затрат на </w:t>
            </w: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2 02 45433 02 0000 150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1 108 016,0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1 179 557,4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2 02 45453 02 0000 150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3 500,0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2 02 45454 02 0000 150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реновацию учреждений отрасли культуры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2 02 45455 02 0000 150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414 775,0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522,9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2F489A" w:rsidRPr="002F489A" w:rsidTr="002F489A">
        <w:tblPrEx>
          <w:tblLook w:val="01E0" w:firstRow="1" w:lastRow="1" w:firstColumn="1" w:lastColumn="1" w:noHBand="0" w:noVBand="0"/>
        </w:tblPrEx>
        <w:tc>
          <w:tcPr>
            <w:tcW w:w="3828" w:type="dxa"/>
            <w:vAlign w:val="bottom"/>
          </w:tcPr>
          <w:p w:rsidR="002F489A" w:rsidRPr="002F489A" w:rsidRDefault="002F489A" w:rsidP="008C6309">
            <w:pPr>
              <w:spacing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  <w:tc>
          <w:tcPr>
            <w:tcW w:w="2835" w:type="dxa"/>
            <w:vAlign w:val="bottom"/>
          </w:tcPr>
          <w:p w:rsidR="002F489A" w:rsidRPr="002F489A" w:rsidRDefault="002F489A" w:rsidP="008C6309">
            <w:pPr>
              <w:spacing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2F489A">
              <w:rPr>
                <w:bCs/>
                <w:color w:val="000000"/>
                <w:sz w:val="24"/>
                <w:szCs w:val="24"/>
              </w:rPr>
              <w:t>2 02 45477 02 0000 150</w:t>
            </w:r>
          </w:p>
        </w:tc>
        <w:tc>
          <w:tcPr>
            <w:tcW w:w="1843" w:type="dxa"/>
            <w:vAlign w:val="bottom"/>
          </w:tcPr>
          <w:p w:rsidR="002F489A" w:rsidRPr="002F489A" w:rsidRDefault="002F489A" w:rsidP="008C6309">
            <w:pPr>
              <w:spacing w:after="40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10 097 720,0</w:t>
            </w:r>
          </w:p>
        </w:tc>
        <w:tc>
          <w:tcPr>
            <w:tcW w:w="1701" w:type="dxa"/>
            <w:vAlign w:val="bottom"/>
          </w:tcPr>
          <w:p w:rsidR="002F489A" w:rsidRPr="002F489A" w:rsidRDefault="002F489A" w:rsidP="002F489A">
            <w:pPr>
              <w:spacing w:after="40"/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2F489A">
              <w:rPr>
                <w:color w:val="000000"/>
                <w:sz w:val="24"/>
                <w:szCs w:val="24"/>
              </w:rPr>
              <w:t>10 657 950,0</w:t>
            </w:r>
            <w:bookmarkStart w:id="0" w:name="_GoBack"/>
            <w:bookmarkEnd w:id="0"/>
          </w:p>
        </w:tc>
      </w:tr>
    </w:tbl>
    <w:p w:rsidR="000B7CEC" w:rsidRDefault="000B7CEC" w:rsidP="00C222B6"/>
    <w:sectPr w:rsidR="000B7CEC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28" w:rsidRDefault="00286628" w:rsidP="00061BD1">
      <w:r>
        <w:separator/>
      </w:r>
    </w:p>
  </w:endnote>
  <w:endnote w:type="continuationSeparator" w:id="0">
    <w:p w:rsidR="00286628" w:rsidRDefault="00286628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28" w:rsidRDefault="00286628" w:rsidP="00061BD1">
      <w:r>
        <w:separator/>
      </w:r>
    </w:p>
  </w:footnote>
  <w:footnote w:type="continuationSeparator" w:id="0">
    <w:p w:rsidR="00286628" w:rsidRDefault="00286628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E78EF" w:rsidRPr="00061BD1" w:rsidRDefault="004E78EF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2F489A">
          <w:rPr>
            <w:noProof/>
            <w:sz w:val="24"/>
            <w:szCs w:val="24"/>
          </w:rPr>
          <w:t>28</w:t>
        </w:r>
        <w:r w:rsidRPr="00061BD1">
          <w:rPr>
            <w:sz w:val="24"/>
            <w:szCs w:val="24"/>
          </w:rPr>
          <w:fldChar w:fldCharType="end"/>
        </w:r>
      </w:p>
    </w:sdtContent>
  </w:sdt>
  <w:p w:rsidR="004E78EF" w:rsidRDefault="004E78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517EB"/>
    <w:rsid w:val="00171E06"/>
    <w:rsid w:val="00177446"/>
    <w:rsid w:val="001938AD"/>
    <w:rsid w:val="001D041A"/>
    <w:rsid w:val="00245BDA"/>
    <w:rsid w:val="002474D9"/>
    <w:rsid w:val="0027145A"/>
    <w:rsid w:val="00286628"/>
    <w:rsid w:val="002C65E0"/>
    <w:rsid w:val="002F489A"/>
    <w:rsid w:val="00316A29"/>
    <w:rsid w:val="003C5CEB"/>
    <w:rsid w:val="003D1D48"/>
    <w:rsid w:val="003D708F"/>
    <w:rsid w:val="004E78EF"/>
    <w:rsid w:val="00540596"/>
    <w:rsid w:val="00563E25"/>
    <w:rsid w:val="006463C6"/>
    <w:rsid w:val="00697417"/>
    <w:rsid w:val="00697F49"/>
    <w:rsid w:val="006E1F3B"/>
    <w:rsid w:val="00876E43"/>
    <w:rsid w:val="008C131A"/>
    <w:rsid w:val="009B7714"/>
    <w:rsid w:val="00A67B7A"/>
    <w:rsid w:val="00AB62D8"/>
    <w:rsid w:val="00AE2D6D"/>
    <w:rsid w:val="00AF0C67"/>
    <w:rsid w:val="00AF215A"/>
    <w:rsid w:val="00AF4F51"/>
    <w:rsid w:val="00B1031E"/>
    <w:rsid w:val="00BD0C94"/>
    <w:rsid w:val="00C03224"/>
    <w:rsid w:val="00C222B6"/>
    <w:rsid w:val="00E5138C"/>
    <w:rsid w:val="00ED4DC3"/>
    <w:rsid w:val="00ED73E1"/>
    <w:rsid w:val="00EF5815"/>
    <w:rsid w:val="00F671CB"/>
    <w:rsid w:val="00F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A316-A14A-4CE4-9D59-C5E504D7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28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35</cp:revision>
  <cp:lastPrinted>2018-09-20T11:51:00Z</cp:lastPrinted>
  <dcterms:created xsi:type="dcterms:W3CDTF">2016-09-14T11:16:00Z</dcterms:created>
  <dcterms:modified xsi:type="dcterms:W3CDTF">2020-03-05T09:13:00Z</dcterms:modified>
</cp:coreProperties>
</file>