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КАБИНЕТ МИНИСТРОВ РЕСПУБЛИКИ ТАТАРСТАН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ПОСТАНОВЛЕНИЕ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A72861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2020</w:t>
      </w:r>
      <w:r w:rsidR="00721FA7" w:rsidRPr="002B6DE9">
        <w:rPr>
          <w:sz w:val="28"/>
        </w:rPr>
        <w:t xml:space="preserve"> г. </w:t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  <w:t>№ ____________</w:t>
      </w: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CA75F7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</w:t>
      </w:r>
      <w:r w:rsidR="00CA75F7">
        <w:rPr>
          <w:sz w:val="28"/>
          <w:szCs w:val="28"/>
        </w:rPr>
        <w:t>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</w:r>
    </w:p>
    <w:p w:rsidR="00BF582A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2B6DE9">
        <w:rPr>
          <w:bCs/>
          <w:sz w:val="28"/>
          <w:szCs w:val="28"/>
        </w:rPr>
        <w:t xml:space="preserve">  </w:t>
      </w:r>
    </w:p>
    <w:p w:rsidR="00DD0B30" w:rsidRPr="002B6DE9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Кабинет Министров Республики Татарстан </w:t>
      </w:r>
      <w:r w:rsidR="00B56EC8">
        <w:rPr>
          <w:rFonts w:ascii="TimesNewRomanPSMT" w:hAnsi="TimesNewRomanPSMT" w:cs="TimesNewRomanPSMT"/>
          <w:sz w:val="28"/>
          <w:szCs w:val="28"/>
        </w:rPr>
        <w:t>ПОСТАНОВЛЯЕТ</w:t>
      </w:r>
      <w:r w:rsidRPr="00A72861">
        <w:rPr>
          <w:rFonts w:ascii="TimesNewRomanPSMT" w:hAnsi="TimesNewRomanPSMT" w:cs="TimesNewRomanPSMT"/>
          <w:sz w:val="28"/>
          <w:szCs w:val="28"/>
        </w:rPr>
        <w:t>:</w:t>
      </w: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DD0B30" w:rsidRDefault="00A72861" w:rsidP="00DD0B30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CA75F7">
        <w:rPr>
          <w:rFonts w:ascii="TimesNewRomanPSMT" w:hAnsi="TimesNewRomanPSMT" w:cs="TimesNewRomanPSMT"/>
          <w:sz w:val="28"/>
          <w:szCs w:val="28"/>
        </w:rPr>
        <w:t xml:space="preserve">Утвердить прилагаемый </w:t>
      </w:r>
      <w:hyperlink w:anchor="Par23" w:history="1">
        <w:r w:rsidRPr="00CA75F7">
          <w:rPr>
            <w:rFonts w:ascii="TimesNewRomanPSMT" w:hAnsi="TimesNewRomanPSMT" w:cs="TimesNewRomanPSMT"/>
            <w:sz w:val="28"/>
            <w:szCs w:val="28"/>
          </w:rPr>
          <w:t>Порядок</w:t>
        </w:r>
      </w:hyperlink>
      <w:r w:rsidRPr="00CA75F7">
        <w:rPr>
          <w:rFonts w:ascii="TimesNewRomanPSMT" w:hAnsi="TimesNewRomanPSMT" w:cs="TimesNewRomanPSMT"/>
          <w:sz w:val="28"/>
          <w:szCs w:val="28"/>
        </w:rPr>
        <w:t xml:space="preserve"> предоставления из бюджета Респу</w:t>
      </w:r>
      <w:r w:rsidRPr="00CA75F7">
        <w:rPr>
          <w:rFonts w:ascii="TimesNewRomanPSMT" w:hAnsi="TimesNewRomanPSMT" w:cs="TimesNewRomanPSMT"/>
          <w:sz w:val="28"/>
          <w:szCs w:val="28"/>
        </w:rPr>
        <w:t>б</w:t>
      </w:r>
      <w:r w:rsidRPr="00CA75F7">
        <w:rPr>
          <w:rFonts w:ascii="TimesNewRomanPSMT" w:hAnsi="TimesNewRomanPSMT" w:cs="TimesNewRomanPSMT"/>
          <w:sz w:val="28"/>
          <w:szCs w:val="28"/>
        </w:rPr>
        <w:t xml:space="preserve">лики Татарстан иных межбюджетных трансфертов бюджетам муниципальных </w:t>
      </w:r>
      <w:r w:rsidR="00CA75F7" w:rsidRPr="00CA75F7">
        <w:rPr>
          <w:rFonts w:ascii="TimesNewRomanPSMT" w:hAnsi="TimesNewRomanPSMT" w:cs="TimesNewRomanPSMT"/>
          <w:sz w:val="28"/>
          <w:szCs w:val="28"/>
        </w:rPr>
        <w:t>о</w:t>
      </w:r>
      <w:r w:rsidR="00CA75F7" w:rsidRPr="00CA75F7">
        <w:rPr>
          <w:rFonts w:ascii="TimesNewRomanPSMT" w:hAnsi="TimesNewRomanPSMT" w:cs="TimesNewRomanPSMT"/>
          <w:sz w:val="28"/>
          <w:szCs w:val="28"/>
        </w:rPr>
        <w:t>б</w:t>
      </w:r>
      <w:r w:rsidR="00CA75F7" w:rsidRPr="00CA75F7">
        <w:rPr>
          <w:rFonts w:ascii="TimesNewRomanPSMT" w:hAnsi="TimesNewRomanPSMT" w:cs="TimesNewRomanPSMT"/>
          <w:sz w:val="28"/>
          <w:szCs w:val="28"/>
        </w:rPr>
        <w:t xml:space="preserve">разований Республики Татарстан </w:t>
      </w:r>
      <w:r w:rsidR="00CA75F7" w:rsidRPr="00DD0B30">
        <w:rPr>
          <w:sz w:val="28"/>
          <w:szCs w:val="28"/>
        </w:rPr>
        <w:t>на финансовое обеспечение расхо</w:t>
      </w:r>
      <w:r w:rsidR="00DD0B30" w:rsidRPr="00DD0B30">
        <w:rPr>
          <w:sz w:val="28"/>
          <w:szCs w:val="28"/>
        </w:rPr>
        <w:t xml:space="preserve">дов, </w:t>
      </w:r>
      <w:r w:rsidR="00CA75F7" w:rsidRPr="00DD0B30">
        <w:rPr>
          <w:sz w:val="28"/>
          <w:szCs w:val="28"/>
        </w:rPr>
        <w:t>связанных с уплатой налога на имущество организаций</w:t>
      </w:r>
      <w:r w:rsidR="00DD0B30">
        <w:rPr>
          <w:sz w:val="28"/>
          <w:szCs w:val="28"/>
        </w:rPr>
        <w:t>.</w:t>
      </w:r>
    </w:p>
    <w:p w:rsidR="00A72861" w:rsidRPr="00DD0B30" w:rsidRDefault="00A72861" w:rsidP="00DD0B30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DD0B30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Pr="00DD0B30">
        <w:rPr>
          <w:rFonts w:ascii="TimesNewRomanPSMT" w:hAnsi="TimesNewRomanPSMT" w:cs="TimesNewRomanPSMT"/>
          <w:sz w:val="28"/>
          <w:szCs w:val="28"/>
        </w:rPr>
        <w:t xml:space="preserve"> исполнением настоящего постановления возложить на Министерство финансов Республики Татарстан.</w:t>
      </w: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Pr="00C22CFB" w:rsidRDefault="00DD0B30" w:rsidP="00DD0B30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:rsidR="00DD0B30" w:rsidRPr="00C22CFB" w:rsidRDefault="00DD0B30" w:rsidP="00DD0B30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C22CFB">
        <w:rPr>
          <w:bCs/>
          <w:sz w:val="28"/>
          <w:szCs w:val="28"/>
        </w:rPr>
        <w:t>А.В.Песошин</w:t>
      </w:r>
      <w:proofErr w:type="spellEnd"/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8"/>
          <w:szCs w:val="28"/>
        </w:rPr>
      </w:pPr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A72861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DD0B30">
      <w:pPr>
        <w:autoSpaceDE w:val="0"/>
        <w:autoSpaceDN w:val="0"/>
        <w:adjustRightInd w:val="0"/>
        <w:ind w:left="6804"/>
        <w:outlineLvl w:val="0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lastRenderedPageBreak/>
        <w:t>Утвержден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постановлением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Кабинета Министров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Республики Татарстан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от </w:t>
      </w:r>
      <w:r w:rsidR="00DD0B30">
        <w:rPr>
          <w:rFonts w:ascii="TimesNewRomanPSMT" w:hAnsi="TimesNewRomanPSMT" w:cs="TimesNewRomanPSMT"/>
          <w:sz w:val="28"/>
          <w:szCs w:val="28"/>
        </w:rPr>
        <w:t>________2020 г. № ___</w:t>
      </w:r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Pr="00A72861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bookmarkStart w:id="0" w:name="Par23"/>
      <w:bookmarkEnd w:id="0"/>
      <w:r w:rsidRPr="00DD0B30">
        <w:rPr>
          <w:rFonts w:ascii="TimesNewRomanPSMT" w:hAnsi="TimesNewRomanPSMT" w:cs="TimesNewRomanPSMT"/>
          <w:bCs/>
          <w:sz w:val="28"/>
          <w:szCs w:val="28"/>
        </w:rPr>
        <w:t>Порядок предоставления из бюджета Республики Татарстан</w:t>
      </w:r>
    </w:p>
    <w:p w:rsidR="00DD0B30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r w:rsidRPr="00DD0B30">
        <w:rPr>
          <w:rFonts w:ascii="TimesNewRomanPSMT" w:hAnsi="TimesNewRomanPSMT" w:cs="TimesNewRomanPSMT"/>
          <w:bCs/>
          <w:sz w:val="28"/>
          <w:szCs w:val="28"/>
        </w:rPr>
        <w:t xml:space="preserve"> иных межбюджетных трансфертов бюджетам муниципальных образований</w:t>
      </w:r>
    </w:p>
    <w:p w:rsidR="00DD0B30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r w:rsidRPr="00DD0B30">
        <w:rPr>
          <w:rFonts w:ascii="TimesNewRomanPSMT" w:hAnsi="TimesNewRomanPSMT" w:cs="TimesNewRomanPSMT"/>
          <w:bCs/>
          <w:sz w:val="28"/>
          <w:szCs w:val="28"/>
        </w:rPr>
        <w:t xml:space="preserve"> Республики Татарстан на финансовое обеспечение расходов, связанных</w:t>
      </w:r>
    </w:p>
    <w:p w:rsidR="00A72861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r w:rsidRPr="00DD0B30">
        <w:rPr>
          <w:rFonts w:ascii="TimesNewRomanPSMT" w:hAnsi="TimesNewRomanPSMT" w:cs="TimesNewRomanPSMT"/>
          <w:bCs/>
          <w:sz w:val="28"/>
          <w:szCs w:val="28"/>
        </w:rPr>
        <w:t xml:space="preserve"> с уплатой налога на имущество организаций</w:t>
      </w:r>
    </w:p>
    <w:p w:rsidR="00DD0B30" w:rsidRPr="00DD0B30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:rsidR="00DD0B30" w:rsidRPr="00A72861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A35AF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1. Настоящий Порядок определяет механизм предоставления иных межбю</w:t>
      </w:r>
      <w:r w:rsidRPr="00A72861">
        <w:rPr>
          <w:rFonts w:ascii="TimesNewRomanPSMT" w:hAnsi="TimesNewRomanPSMT" w:cs="TimesNewRomanPSMT"/>
          <w:sz w:val="28"/>
          <w:szCs w:val="28"/>
        </w:rPr>
        <w:t>д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жетных трансфертов из бюджета Республики Татарстан бюджетам муниципальных </w:t>
      </w:r>
      <w:r w:rsidR="00DD0B30" w:rsidRPr="00DD0B30">
        <w:rPr>
          <w:rFonts w:ascii="TimesNewRomanPSMT" w:hAnsi="TimesNewRomanPSMT" w:cs="TimesNewRomanPSMT"/>
          <w:sz w:val="28"/>
          <w:szCs w:val="28"/>
        </w:rPr>
        <w:t xml:space="preserve">образований Республики Татарстан </w:t>
      </w:r>
      <w:r w:rsidR="00DD0B30" w:rsidRPr="00A72861">
        <w:rPr>
          <w:rFonts w:ascii="TimesNewRomanPSMT" w:hAnsi="TimesNewRomanPSMT" w:cs="TimesNewRomanPSMT"/>
          <w:sz w:val="28"/>
          <w:szCs w:val="28"/>
        </w:rPr>
        <w:t>(далее - муниципальные образова</w:t>
      </w:r>
      <w:r w:rsidR="00DD0B30">
        <w:rPr>
          <w:rFonts w:ascii="TimesNewRomanPSMT" w:hAnsi="TimesNewRomanPSMT" w:cs="TimesNewRomanPSMT"/>
          <w:sz w:val="28"/>
          <w:szCs w:val="28"/>
        </w:rPr>
        <w:t xml:space="preserve">ния) </w:t>
      </w:r>
      <w:r w:rsidR="00DD0B30" w:rsidRPr="00DD0B30">
        <w:rPr>
          <w:rFonts w:ascii="TimesNewRomanPSMT" w:hAnsi="TimesNewRomanPSMT" w:cs="TimesNewRomanPSMT"/>
          <w:sz w:val="28"/>
          <w:szCs w:val="28"/>
        </w:rPr>
        <w:t>на ф</w:t>
      </w:r>
      <w:r w:rsidR="00DD0B30" w:rsidRPr="00DD0B30">
        <w:rPr>
          <w:rFonts w:ascii="TimesNewRomanPSMT" w:hAnsi="TimesNewRomanPSMT" w:cs="TimesNewRomanPSMT"/>
          <w:sz w:val="28"/>
          <w:szCs w:val="28"/>
        </w:rPr>
        <w:t>и</w:t>
      </w:r>
      <w:r w:rsidR="00DD0B30" w:rsidRPr="00DD0B30">
        <w:rPr>
          <w:rFonts w:ascii="TimesNewRomanPSMT" w:hAnsi="TimesNewRomanPSMT" w:cs="TimesNewRomanPSMT"/>
          <w:sz w:val="28"/>
          <w:szCs w:val="28"/>
        </w:rPr>
        <w:t xml:space="preserve">нансовое обеспечение расходов, связанных с уплатой </w:t>
      </w:r>
      <w:r w:rsidR="00DD0B30">
        <w:rPr>
          <w:rFonts w:ascii="TimesNewRomanPSMT" w:hAnsi="TimesNewRomanPSMT" w:cs="TimesNewRomanPSMT"/>
          <w:sz w:val="28"/>
          <w:szCs w:val="28"/>
        </w:rPr>
        <w:t>налога на имущество орган</w:t>
      </w:r>
      <w:r w:rsidR="00DD0B30">
        <w:rPr>
          <w:rFonts w:ascii="TimesNewRomanPSMT" w:hAnsi="TimesNewRomanPSMT" w:cs="TimesNewRomanPSMT"/>
          <w:sz w:val="28"/>
          <w:szCs w:val="28"/>
        </w:rPr>
        <w:t>и</w:t>
      </w:r>
      <w:r w:rsidR="00DD0B30">
        <w:rPr>
          <w:rFonts w:ascii="TimesNewRomanPSMT" w:hAnsi="TimesNewRomanPSMT" w:cs="TimesNewRomanPSMT"/>
          <w:sz w:val="28"/>
          <w:szCs w:val="28"/>
        </w:rPr>
        <w:t>заций</w:t>
      </w:r>
      <w:r w:rsidR="00DD0B30" w:rsidRPr="00DD0B30">
        <w:rPr>
          <w:rFonts w:ascii="TimesNewRomanPSMT" w:hAnsi="TimesNewRomanPSMT" w:cs="TimesNewRomanPSMT"/>
          <w:sz w:val="28"/>
          <w:szCs w:val="28"/>
        </w:rPr>
        <w:t xml:space="preserve"> </w:t>
      </w:r>
      <w:r w:rsidRPr="00A72861">
        <w:rPr>
          <w:rFonts w:ascii="TimesNewRomanPSMT" w:hAnsi="TimesNewRomanPSMT" w:cs="TimesNewRomanPSMT"/>
          <w:sz w:val="28"/>
          <w:szCs w:val="28"/>
        </w:rPr>
        <w:t>(далее</w:t>
      </w:r>
      <w:r w:rsidR="00DD0B30">
        <w:rPr>
          <w:rFonts w:ascii="TimesNewRomanPSMT" w:hAnsi="TimesNewRomanPSMT" w:cs="TimesNewRomanPSMT"/>
          <w:sz w:val="28"/>
          <w:szCs w:val="28"/>
        </w:rPr>
        <w:t xml:space="preserve"> - иные межбюджетные трансферты</w:t>
      </w:r>
      <w:r w:rsidRPr="00A72861">
        <w:rPr>
          <w:rFonts w:ascii="TimesNewRomanPSMT" w:hAnsi="TimesNewRomanPSMT" w:cs="TimesNewRomanPSMT"/>
          <w:sz w:val="28"/>
          <w:szCs w:val="28"/>
        </w:rPr>
        <w:t>).</w:t>
      </w:r>
    </w:p>
    <w:p w:rsidR="00DD0B30" w:rsidRPr="00A72861" w:rsidRDefault="00DD0B30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. Главным распорядителем </w:t>
      </w:r>
      <w:r>
        <w:rPr>
          <w:rFonts w:ascii="TimesNewRomanPSMT" w:hAnsi="TimesNewRomanPSMT" w:cs="TimesNewRomanPSMT"/>
          <w:sz w:val="28"/>
          <w:szCs w:val="28"/>
        </w:rPr>
        <w:t xml:space="preserve">бюджетных </w:t>
      </w:r>
      <w:r w:rsidRPr="00A72861">
        <w:rPr>
          <w:rFonts w:ascii="TimesNewRomanPSMT" w:hAnsi="TimesNewRomanPSMT" w:cs="TimesNewRomanPSMT"/>
          <w:sz w:val="28"/>
          <w:szCs w:val="28"/>
        </w:rPr>
        <w:t>средств, предоставляемых в соотве</w:t>
      </w:r>
      <w:r w:rsidRPr="00A72861">
        <w:rPr>
          <w:rFonts w:ascii="TimesNewRomanPSMT" w:hAnsi="TimesNewRomanPSMT" w:cs="TimesNewRomanPSMT"/>
          <w:sz w:val="28"/>
          <w:szCs w:val="28"/>
        </w:rPr>
        <w:t>т</w:t>
      </w:r>
      <w:r w:rsidRPr="00A72861">
        <w:rPr>
          <w:rFonts w:ascii="TimesNewRomanPSMT" w:hAnsi="TimesNewRomanPSMT" w:cs="TimesNewRomanPSMT"/>
          <w:sz w:val="28"/>
          <w:szCs w:val="28"/>
        </w:rPr>
        <w:t>ствии с настоящим Порядком, является Министерство финансов Республики Т</w:t>
      </w:r>
      <w:r w:rsidRPr="00A72861">
        <w:rPr>
          <w:rFonts w:ascii="TimesNewRomanPSMT" w:hAnsi="TimesNewRomanPSMT" w:cs="TimesNewRomanPSMT"/>
          <w:sz w:val="28"/>
          <w:szCs w:val="28"/>
        </w:rPr>
        <w:t>а</w:t>
      </w:r>
      <w:r w:rsidRPr="00A72861">
        <w:rPr>
          <w:rFonts w:ascii="TimesNewRomanPSMT" w:hAnsi="TimesNewRomanPSMT" w:cs="TimesNewRomanPSMT"/>
          <w:sz w:val="28"/>
          <w:szCs w:val="28"/>
        </w:rPr>
        <w:t>тарстан (далее - Министерство).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3. Иные межбюджетные трансферты предоставляются в пределах бюджетных ассигнований и лимитов бюджетных обязательств, предусмотренных на указанные цели законом Республики Татарстан о бюджете Республики Татарстан на соотве</w:t>
      </w:r>
      <w:r w:rsidRPr="00A72861">
        <w:rPr>
          <w:rFonts w:ascii="TimesNewRomanPSMT" w:hAnsi="TimesNewRomanPSMT" w:cs="TimesNewRomanPSMT"/>
          <w:sz w:val="28"/>
          <w:szCs w:val="28"/>
        </w:rPr>
        <w:t>т</w:t>
      </w:r>
      <w:r w:rsidRPr="00A72861">
        <w:rPr>
          <w:rFonts w:ascii="TimesNewRomanPSMT" w:hAnsi="TimesNewRomanPSMT" w:cs="TimesNewRomanPSMT"/>
          <w:sz w:val="28"/>
          <w:szCs w:val="28"/>
        </w:rPr>
        <w:t>ствующий финансовый год и на плановый период.</w:t>
      </w:r>
    </w:p>
    <w:p w:rsidR="00A72861" w:rsidRPr="00A72861" w:rsidRDefault="00FB67FA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Условиями предоставления иных межбюджетных трансфертов являются: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а) наличие в бюджете муниципального образования (сводной бюджетной ро</w:t>
      </w:r>
      <w:r w:rsidRPr="00A72861">
        <w:rPr>
          <w:rFonts w:ascii="TimesNewRomanPSMT" w:hAnsi="TimesNewRomanPSMT" w:cs="TimesNewRomanPSMT"/>
          <w:sz w:val="28"/>
          <w:szCs w:val="28"/>
        </w:rPr>
        <w:t>с</w:t>
      </w:r>
      <w:r w:rsidRPr="00A72861">
        <w:rPr>
          <w:rFonts w:ascii="TimesNewRomanPSMT" w:hAnsi="TimesNewRomanPSMT" w:cs="TimesNewRomanPSMT"/>
          <w:sz w:val="28"/>
          <w:szCs w:val="28"/>
        </w:rPr>
        <w:t>писи бюджета муниципального образования) бюджетных ассигнований на испо</w:t>
      </w:r>
      <w:r w:rsidRPr="00A72861">
        <w:rPr>
          <w:rFonts w:ascii="TimesNewRomanPSMT" w:hAnsi="TimesNewRomanPSMT" w:cs="TimesNewRomanPSMT"/>
          <w:sz w:val="28"/>
          <w:szCs w:val="28"/>
        </w:rPr>
        <w:t>л</w:t>
      </w:r>
      <w:r w:rsidRPr="00A72861">
        <w:rPr>
          <w:rFonts w:ascii="TimesNewRomanPSMT" w:hAnsi="TimesNewRomanPSMT" w:cs="TimesNewRomanPSMT"/>
          <w:sz w:val="28"/>
          <w:szCs w:val="28"/>
        </w:rPr>
        <w:t>нение расходных обязательств муниципального образования за счет предоставл</w:t>
      </w:r>
      <w:r w:rsidRPr="00A72861">
        <w:rPr>
          <w:rFonts w:ascii="TimesNewRomanPSMT" w:hAnsi="TimesNewRomanPSMT" w:cs="TimesNewRomanPSMT"/>
          <w:sz w:val="28"/>
          <w:szCs w:val="28"/>
        </w:rPr>
        <w:t>е</w:t>
      </w:r>
      <w:r w:rsidRPr="00A72861">
        <w:rPr>
          <w:rFonts w:ascii="TimesNewRomanPSMT" w:hAnsi="TimesNewRomanPSMT" w:cs="TimesNewRomanPSMT"/>
          <w:sz w:val="28"/>
          <w:szCs w:val="28"/>
        </w:rPr>
        <w:t>ния из бюджета Республики Татарстан иных межбюджетных трансфертов;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B56EC8">
        <w:rPr>
          <w:rFonts w:ascii="TimesNewRomanPSMT" w:hAnsi="TimesNewRomanPSMT" w:cs="TimesNewRomanPSMT"/>
          <w:sz w:val="28"/>
          <w:szCs w:val="28"/>
        </w:rPr>
        <w:t>б) заключение соглашения о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 предоставлении иных межбюджетных трансфе</w:t>
      </w:r>
      <w:r w:rsidRPr="00A72861">
        <w:rPr>
          <w:rFonts w:ascii="TimesNewRomanPSMT" w:hAnsi="TimesNewRomanPSMT" w:cs="TimesNewRomanPSMT"/>
          <w:sz w:val="28"/>
          <w:szCs w:val="28"/>
        </w:rPr>
        <w:t>р</w:t>
      </w:r>
      <w:r w:rsidRPr="00A72861">
        <w:rPr>
          <w:rFonts w:ascii="TimesNewRomanPSMT" w:hAnsi="TimesNewRomanPSMT" w:cs="TimesNewRomanPSMT"/>
          <w:sz w:val="28"/>
          <w:szCs w:val="28"/>
        </w:rPr>
        <w:t>тов между Министерством и уполномоченным органом местного самоуправления муниципального образования (далее - уполномоченный орган).</w:t>
      </w:r>
    </w:p>
    <w:p w:rsidR="006E62E2" w:rsidRDefault="006E62E2" w:rsidP="00AA35AF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Общий объем иных межбюджетных трансфертов, предоставляемых бюдж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</w:rPr>
        <w:t>там муниципальных образований (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общ</w:t>
      </w:r>
      <w:proofErr w:type="spellEnd"/>
      <w:r>
        <w:rPr>
          <w:rFonts w:ascii="TimesNewRomanPSMT" w:hAnsi="TimesNewRomanPSMT" w:cs="TimesNewRomanPSMT"/>
          <w:sz w:val="28"/>
          <w:szCs w:val="28"/>
        </w:rPr>
        <w:t>), определяется по следующей формуле:</w:t>
      </w:r>
    </w:p>
    <w:p w:rsidR="006E62E2" w:rsidRDefault="006E62E2" w:rsidP="00AA35AF">
      <w:pPr>
        <w:autoSpaceDE w:val="0"/>
        <w:autoSpaceDN w:val="0"/>
        <w:adjustRightInd w:val="0"/>
        <w:contextualSpacing/>
        <w:jc w:val="both"/>
        <w:outlineLvl w:val="0"/>
        <w:rPr>
          <w:rFonts w:ascii="TimesNewRomanPSMT" w:hAnsi="TimesNewRomanPSMT" w:cs="TimesNewRomanPSMT"/>
          <w:sz w:val="28"/>
          <w:szCs w:val="28"/>
        </w:rPr>
      </w:pPr>
    </w:p>
    <w:p w:rsidR="006E62E2" w:rsidRDefault="006E62E2" w:rsidP="00AA35AF">
      <w:pPr>
        <w:autoSpaceDE w:val="0"/>
        <w:autoSpaceDN w:val="0"/>
        <w:adjustRightInd w:val="0"/>
        <w:contextualSpacing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noProof/>
          <w:position w:val="-33"/>
          <w:sz w:val="28"/>
          <w:szCs w:val="28"/>
        </w:rPr>
        <w:drawing>
          <wp:inline distT="0" distB="0" distL="0" distR="0" wp14:anchorId="7E5D8E0F" wp14:editId="661FC8B0">
            <wp:extent cx="1212215" cy="59563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2E2" w:rsidRDefault="006E62E2" w:rsidP="00AA35AF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6E62E2" w:rsidRDefault="006E62E2" w:rsidP="00AA35AF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где:</w:t>
      </w:r>
    </w:p>
    <w:p w:rsidR="006E62E2" w:rsidRDefault="006E62E2" w:rsidP="00AA35A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C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i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- объем иных межбюджетных трансфертов, предоставляемых бюджету i-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муниципального образования;</w:t>
      </w:r>
    </w:p>
    <w:p w:rsidR="006E62E2" w:rsidRDefault="006E62E2" w:rsidP="00AA35A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n - число муниципальных образований, которым предоставляются иные ме</w:t>
      </w:r>
      <w:r>
        <w:rPr>
          <w:rFonts w:ascii="TimesNewRomanPSMT" w:hAnsi="TimesNewRomanPSMT" w:cs="TimesNewRomanPSMT"/>
          <w:sz w:val="28"/>
          <w:szCs w:val="28"/>
        </w:rPr>
        <w:t>ж</w:t>
      </w:r>
      <w:r>
        <w:rPr>
          <w:rFonts w:ascii="TimesNewRomanPSMT" w:hAnsi="TimesNewRomanPSMT" w:cs="TimesNewRomanPSMT"/>
          <w:sz w:val="28"/>
          <w:szCs w:val="28"/>
        </w:rPr>
        <w:t>бюджетные трансферты.</w:t>
      </w:r>
    </w:p>
    <w:p w:rsidR="006E62E2" w:rsidRPr="00A72861" w:rsidRDefault="006E62E2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6. </w:t>
      </w:r>
      <w:r w:rsidRPr="00A72861">
        <w:rPr>
          <w:rFonts w:ascii="TimesNewRomanPSMT" w:hAnsi="TimesNewRomanPSMT" w:cs="TimesNewRomanPSMT"/>
          <w:sz w:val="28"/>
          <w:szCs w:val="28"/>
        </w:rPr>
        <w:t>Объем иных межбюджетных трансфертов, предоставляемый бюджету i-</w:t>
      </w:r>
      <w:proofErr w:type="spellStart"/>
      <w:r w:rsidRPr="00A72861">
        <w:rPr>
          <w:rFonts w:ascii="TimesNewRomanPSMT" w:hAnsi="TimesNewRomanPSMT" w:cs="TimesNewRomanPSMT"/>
          <w:sz w:val="28"/>
          <w:szCs w:val="28"/>
        </w:rPr>
        <w:t>го</w:t>
      </w:r>
      <w:proofErr w:type="spellEnd"/>
      <w:r w:rsidRPr="00A72861">
        <w:rPr>
          <w:rFonts w:ascii="TimesNewRomanPSMT" w:hAnsi="TimesNewRomanPSMT" w:cs="TimesNewRomanPSMT"/>
          <w:sz w:val="28"/>
          <w:szCs w:val="28"/>
        </w:rPr>
        <w:t xml:space="preserve"> муниципального образования </w:t>
      </w:r>
      <w:r>
        <w:rPr>
          <w:rFonts w:ascii="TimesNewRomanPSMT" w:hAnsi="TimesNewRomanPSMT" w:cs="TimesNewRomanPSMT"/>
          <w:sz w:val="28"/>
          <w:szCs w:val="28"/>
        </w:rPr>
        <w:t>(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C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i</w:t>
      </w:r>
      <w:proofErr w:type="spellEnd"/>
      <w:r>
        <w:rPr>
          <w:rFonts w:ascii="TimesNewRomanPSMT" w:hAnsi="TimesNewRomanPSMT" w:cs="TimesNewRomanPSMT"/>
          <w:sz w:val="28"/>
          <w:szCs w:val="28"/>
        </w:rPr>
        <w:t>)</w:t>
      </w:r>
      <w:r w:rsidRPr="00A72861">
        <w:rPr>
          <w:rFonts w:ascii="TimesNewRomanPSMT" w:hAnsi="TimesNewRomanPSMT" w:cs="TimesNewRomanPSMT"/>
          <w:sz w:val="28"/>
          <w:szCs w:val="28"/>
        </w:rPr>
        <w:t>, рассчитывается по формуле:</w:t>
      </w:r>
    </w:p>
    <w:p w:rsidR="006E62E2" w:rsidRDefault="006E62E2" w:rsidP="00AA35AF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6E62E2" w:rsidRDefault="006E62E2" w:rsidP="00AA35AF">
      <w:pPr>
        <w:autoSpaceDE w:val="0"/>
        <w:autoSpaceDN w:val="0"/>
        <w:adjustRightInd w:val="0"/>
        <w:contextualSpacing/>
        <w:jc w:val="center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C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i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=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N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i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-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P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i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</w:t>
      </w:r>
    </w:p>
    <w:p w:rsidR="006E62E2" w:rsidRDefault="006E62E2" w:rsidP="00AA35AF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6E62E2" w:rsidRDefault="006E62E2" w:rsidP="00AA35AF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где:</w:t>
      </w:r>
    </w:p>
    <w:p w:rsidR="004A0BC8" w:rsidRDefault="006E62E2" w:rsidP="00AA35A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N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i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7506B4">
        <w:rPr>
          <w:rFonts w:ascii="TimesNewRomanPSMT" w:hAnsi="TimesNewRomanPSMT" w:cs="TimesNewRomanPSMT"/>
          <w:sz w:val="28"/>
          <w:szCs w:val="28"/>
        </w:rPr>
        <w:t>–</w:t>
      </w:r>
      <w:r w:rsidR="004A0BC8">
        <w:rPr>
          <w:rFonts w:ascii="TimesNewRomanPSMT" w:hAnsi="TimesNewRomanPSMT" w:cs="TimesNewRomanPSMT"/>
          <w:sz w:val="28"/>
          <w:szCs w:val="28"/>
        </w:rPr>
        <w:t>объем потребности бюджета i-</w:t>
      </w:r>
      <w:proofErr w:type="spellStart"/>
      <w:r w:rsidR="004A0BC8">
        <w:rPr>
          <w:rFonts w:ascii="TimesNewRomanPSMT" w:hAnsi="TimesNewRomanPSMT" w:cs="TimesNewRomanPSMT"/>
          <w:sz w:val="28"/>
          <w:szCs w:val="28"/>
        </w:rPr>
        <w:t>го</w:t>
      </w:r>
      <w:proofErr w:type="spellEnd"/>
      <w:r w:rsidR="004A0BC8">
        <w:rPr>
          <w:rFonts w:ascii="TimesNewRomanPSMT" w:hAnsi="TimesNewRomanPSMT" w:cs="TimesNewRomanPSMT"/>
          <w:sz w:val="28"/>
          <w:szCs w:val="28"/>
        </w:rPr>
        <w:t xml:space="preserve"> муниципального образования на </w:t>
      </w:r>
      <w:r w:rsidR="004A0BC8" w:rsidRPr="00DD0B30">
        <w:rPr>
          <w:rFonts w:ascii="TimesNewRomanPSMT" w:hAnsi="TimesNewRomanPSMT" w:cs="TimesNewRomanPSMT"/>
          <w:sz w:val="28"/>
          <w:szCs w:val="28"/>
        </w:rPr>
        <w:t>фина</w:t>
      </w:r>
      <w:r w:rsidR="004A0BC8" w:rsidRPr="00DD0B30">
        <w:rPr>
          <w:rFonts w:ascii="TimesNewRomanPSMT" w:hAnsi="TimesNewRomanPSMT" w:cs="TimesNewRomanPSMT"/>
          <w:sz w:val="28"/>
          <w:szCs w:val="28"/>
        </w:rPr>
        <w:t>н</w:t>
      </w:r>
      <w:r w:rsidR="004A0BC8" w:rsidRPr="00DD0B30">
        <w:rPr>
          <w:rFonts w:ascii="TimesNewRomanPSMT" w:hAnsi="TimesNewRomanPSMT" w:cs="TimesNewRomanPSMT"/>
          <w:sz w:val="28"/>
          <w:szCs w:val="28"/>
        </w:rPr>
        <w:t xml:space="preserve">совое обеспечение расходов, связанных с уплатой </w:t>
      </w:r>
      <w:r w:rsidR="004A0BC8">
        <w:rPr>
          <w:rFonts w:ascii="TimesNewRomanPSMT" w:hAnsi="TimesNewRomanPSMT" w:cs="TimesNewRomanPSMT"/>
          <w:sz w:val="28"/>
          <w:szCs w:val="28"/>
        </w:rPr>
        <w:t>налога на имущество организ</w:t>
      </w:r>
      <w:r w:rsidR="004A0BC8">
        <w:rPr>
          <w:rFonts w:ascii="TimesNewRomanPSMT" w:hAnsi="TimesNewRomanPSMT" w:cs="TimesNewRomanPSMT"/>
          <w:sz w:val="28"/>
          <w:szCs w:val="28"/>
        </w:rPr>
        <w:t>а</w:t>
      </w:r>
      <w:r w:rsidR="004A0BC8">
        <w:rPr>
          <w:rFonts w:ascii="TimesNewRomanPSMT" w:hAnsi="TimesNewRomanPSMT" w:cs="TimesNewRomanPSMT"/>
          <w:sz w:val="28"/>
          <w:szCs w:val="28"/>
        </w:rPr>
        <w:t>ций</w:t>
      </w:r>
      <w:r w:rsidR="00660FBE">
        <w:rPr>
          <w:rFonts w:ascii="TimesNewRomanPSMT" w:hAnsi="TimesNewRomanPSMT" w:cs="TimesNewRomanPSMT"/>
          <w:sz w:val="28"/>
          <w:szCs w:val="28"/>
        </w:rPr>
        <w:t>, определенный исходя из объема</w:t>
      </w:r>
      <w:r w:rsidR="00576EC8">
        <w:rPr>
          <w:rFonts w:ascii="TimesNewRomanPSMT" w:hAnsi="TimesNewRomanPSMT" w:cs="TimesNewRomanPSMT"/>
          <w:sz w:val="28"/>
          <w:szCs w:val="28"/>
        </w:rPr>
        <w:t xml:space="preserve"> </w:t>
      </w:r>
      <w:r w:rsidR="00136275">
        <w:rPr>
          <w:rFonts w:ascii="TimesNewRomanPSMT" w:hAnsi="TimesNewRomanPSMT" w:cs="TimesNewRomanPSMT"/>
          <w:sz w:val="28"/>
          <w:szCs w:val="28"/>
        </w:rPr>
        <w:t>подлежащего уплате</w:t>
      </w:r>
      <w:r w:rsidR="00576EC8">
        <w:rPr>
          <w:rFonts w:ascii="TimesNewRomanPSMT" w:hAnsi="TimesNewRomanPSMT" w:cs="TimesNewRomanPSMT"/>
          <w:sz w:val="28"/>
          <w:szCs w:val="28"/>
        </w:rPr>
        <w:t xml:space="preserve"> налога на имущество организаций </w:t>
      </w:r>
      <w:r w:rsidR="00660FBE">
        <w:rPr>
          <w:rFonts w:ascii="TimesNewRomanPSMT" w:hAnsi="TimesNewRomanPSMT" w:cs="TimesNewRomanPSMT"/>
          <w:sz w:val="28"/>
          <w:szCs w:val="28"/>
        </w:rPr>
        <w:t xml:space="preserve">по итогам </w:t>
      </w:r>
      <w:r w:rsidR="00B56EC8">
        <w:rPr>
          <w:rFonts w:ascii="TimesNewRomanPSMT" w:hAnsi="TimesNewRomanPSMT" w:cs="TimesNewRomanPSMT"/>
          <w:sz w:val="28"/>
          <w:szCs w:val="28"/>
        </w:rPr>
        <w:t xml:space="preserve">истекшего </w:t>
      </w:r>
      <w:r w:rsidR="00660FBE">
        <w:rPr>
          <w:rFonts w:ascii="TimesNewRomanPSMT" w:hAnsi="TimesNewRomanPSMT" w:cs="TimesNewRomanPSMT"/>
          <w:sz w:val="28"/>
          <w:szCs w:val="28"/>
        </w:rPr>
        <w:t xml:space="preserve">налогового периода и авансовых платежей </w:t>
      </w:r>
      <w:r w:rsidR="00576EC8">
        <w:rPr>
          <w:rFonts w:ascii="TimesNewRomanPSMT" w:hAnsi="TimesNewRomanPSMT" w:cs="TimesNewRomanPSMT"/>
          <w:sz w:val="28"/>
          <w:szCs w:val="28"/>
        </w:rPr>
        <w:t>по ук</w:t>
      </w:r>
      <w:r w:rsidR="00576EC8">
        <w:rPr>
          <w:rFonts w:ascii="TimesNewRomanPSMT" w:hAnsi="TimesNewRomanPSMT" w:cs="TimesNewRomanPSMT"/>
          <w:sz w:val="28"/>
          <w:szCs w:val="28"/>
        </w:rPr>
        <w:t>а</w:t>
      </w:r>
      <w:r w:rsidR="00576EC8">
        <w:rPr>
          <w:rFonts w:ascii="TimesNewRomanPSMT" w:hAnsi="TimesNewRomanPSMT" w:cs="TimesNewRomanPSMT"/>
          <w:sz w:val="28"/>
          <w:szCs w:val="28"/>
        </w:rPr>
        <w:t xml:space="preserve">занному налогу за каждый отчетный период </w:t>
      </w:r>
      <w:r w:rsidR="00660FBE">
        <w:rPr>
          <w:rFonts w:ascii="TimesNewRomanPSMT" w:hAnsi="TimesNewRomanPSMT" w:cs="TimesNewRomanPSMT"/>
          <w:sz w:val="28"/>
          <w:szCs w:val="28"/>
        </w:rPr>
        <w:t xml:space="preserve">текущего </w:t>
      </w:r>
      <w:r w:rsidR="00576EC8">
        <w:rPr>
          <w:rFonts w:ascii="TimesNewRomanPSMT" w:hAnsi="TimesNewRomanPSMT" w:cs="TimesNewRomanPSMT"/>
          <w:sz w:val="28"/>
          <w:szCs w:val="28"/>
        </w:rPr>
        <w:t>налогового периода</w:t>
      </w:r>
      <w:r w:rsidR="004A0BC8">
        <w:rPr>
          <w:rFonts w:ascii="TimesNewRomanPSMT" w:hAnsi="TimesNewRomanPSMT" w:cs="TimesNewRomanPSMT"/>
          <w:sz w:val="28"/>
          <w:szCs w:val="28"/>
        </w:rPr>
        <w:t>;</w:t>
      </w:r>
    </w:p>
    <w:p w:rsidR="004A0BC8" w:rsidRDefault="006E62E2" w:rsidP="00AA35A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P</w:t>
      </w:r>
      <w:r>
        <w:rPr>
          <w:rFonts w:ascii="TimesNewRomanPSMT" w:hAnsi="TimesNewRomanPSMT" w:cs="TimesNewRomanPSMT"/>
          <w:sz w:val="28"/>
          <w:szCs w:val="28"/>
          <w:vertAlign w:val="subscript"/>
        </w:rPr>
        <w:t>i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– </w:t>
      </w:r>
      <w:r w:rsidR="007506B4">
        <w:rPr>
          <w:rFonts w:ascii="TimesNewRomanPSMT" w:hAnsi="TimesNewRomanPSMT" w:cs="TimesNewRomanPSMT"/>
          <w:sz w:val="28"/>
          <w:szCs w:val="28"/>
        </w:rPr>
        <w:t xml:space="preserve">прогнозный </w:t>
      </w:r>
      <w:r>
        <w:rPr>
          <w:rFonts w:ascii="TimesNewRomanPSMT" w:hAnsi="TimesNewRomanPSMT" w:cs="TimesNewRomanPSMT"/>
          <w:sz w:val="28"/>
          <w:szCs w:val="28"/>
        </w:rPr>
        <w:t>объем потребности бюджета i-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муниципального образов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 xml:space="preserve">ния на </w:t>
      </w:r>
      <w:r w:rsidR="007506B4" w:rsidRPr="00DD0B30">
        <w:rPr>
          <w:rFonts w:ascii="TimesNewRomanPSMT" w:hAnsi="TimesNewRomanPSMT" w:cs="TimesNewRomanPSMT"/>
          <w:sz w:val="28"/>
          <w:szCs w:val="28"/>
        </w:rPr>
        <w:t xml:space="preserve">финансовое обеспечение расходов, связанных с уплатой </w:t>
      </w:r>
      <w:r w:rsidR="007506B4">
        <w:rPr>
          <w:rFonts w:ascii="TimesNewRomanPSMT" w:hAnsi="TimesNewRomanPSMT" w:cs="TimesNewRomanPSMT"/>
          <w:sz w:val="28"/>
          <w:szCs w:val="28"/>
        </w:rPr>
        <w:t>налога на имущ</w:t>
      </w:r>
      <w:r w:rsidR="007506B4">
        <w:rPr>
          <w:rFonts w:ascii="TimesNewRomanPSMT" w:hAnsi="TimesNewRomanPSMT" w:cs="TimesNewRomanPSMT"/>
          <w:sz w:val="28"/>
          <w:szCs w:val="28"/>
        </w:rPr>
        <w:t>е</w:t>
      </w:r>
      <w:r w:rsidR="007506B4">
        <w:rPr>
          <w:rFonts w:ascii="TimesNewRomanPSMT" w:hAnsi="TimesNewRomanPSMT" w:cs="TimesNewRomanPSMT"/>
          <w:sz w:val="28"/>
          <w:szCs w:val="28"/>
        </w:rPr>
        <w:t xml:space="preserve">ство организаций, </w:t>
      </w:r>
      <w:r w:rsidR="004A0BC8">
        <w:rPr>
          <w:rFonts w:ascii="TimesNewRomanPSMT" w:hAnsi="TimesNewRomanPSMT" w:cs="TimesNewRomanPSMT"/>
          <w:sz w:val="28"/>
          <w:szCs w:val="28"/>
        </w:rPr>
        <w:t>определенный в рамках межбюджетного регулирования при с</w:t>
      </w:r>
      <w:r w:rsidR="004A0BC8">
        <w:rPr>
          <w:rFonts w:ascii="TimesNewRomanPSMT" w:hAnsi="TimesNewRomanPSMT" w:cs="TimesNewRomanPSMT"/>
          <w:sz w:val="28"/>
          <w:szCs w:val="28"/>
        </w:rPr>
        <w:t>о</w:t>
      </w:r>
      <w:r w:rsidR="004A0BC8">
        <w:rPr>
          <w:rFonts w:ascii="TimesNewRomanPSMT" w:hAnsi="TimesNewRomanPSMT" w:cs="TimesNewRomanPSMT"/>
          <w:sz w:val="28"/>
          <w:szCs w:val="28"/>
        </w:rPr>
        <w:t xml:space="preserve">ставлении проекта бюджета Республики Татарстан на </w:t>
      </w:r>
      <w:r w:rsidR="00660FBE">
        <w:rPr>
          <w:rFonts w:ascii="TimesNewRomanPSMT" w:hAnsi="TimesNewRomanPSMT" w:cs="TimesNewRomanPSMT"/>
          <w:sz w:val="28"/>
          <w:szCs w:val="28"/>
        </w:rPr>
        <w:t>соответствующий</w:t>
      </w:r>
      <w:r w:rsidR="00C7024B">
        <w:rPr>
          <w:rFonts w:ascii="TimesNewRomanPSMT" w:hAnsi="TimesNewRomanPSMT" w:cs="TimesNewRomanPSMT"/>
          <w:sz w:val="28"/>
          <w:szCs w:val="28"/>
        </w:rPr>
        <w:t xml:space="preserve"> финанс</w:t>
      </w:r>
      <w:r w:rsidR="00C7024B">
        <w:rPr>
          <w:rFonts w:ascii="TimesNewRomanPSMT" w:hAnsi="TimesNewRomanPSMT" w:cs="TimesNewRomanPSMT"/>
          <w:sz w:val="28"/>
          <w:szCs w:val="28"/>
        </w:rPr>
        <w:t>о</w:t>
      </w:r>
      <w:r w:rsidR="00C7024B">
        <w:rPr>
          <w:rFonts w:ascii="TimesNewRomanPSMT" w:hAnsi="TimesNewRomanPSMT" w:cs="TimesNewRomanPSMT"/>
          <w:sz w:val="28"/>
          <w:szCs w:val="28"/>
        </w:rPr>
        <w:t>вый год</w:t>
      </w:r>
      <w:r w:rsidR="00726713">
        <w:rPr>
          <w:rFonts w:ascii="TimesNewRomanPSMT" w:hAnsi="TimesNewRomanPSMT" w:cs="TimesNewRomanPSMT"/>
          <w:i/>
          <w:sz w:val="28"/>
          <w:szCs w:val="28"/>
        </w:rPr>
        <w:t>.</w:t>
      </w:r>
    </w:p>
    <w:p w:rsidR="00A72861" w:rsidRPr="00A72861" w:rsidRDefault="00C7024B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Предоставление иных межбюджетных трансфертов осуществляется на о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с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новании соглашения о предоставлении иных межбюджетных трансфертов, закл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ю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чаемого между Министерством и уполномоченным органом в соответствии с фо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р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мой, утверждаемой Министерством (далее - соглашение).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В соглашении предусматриваются: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размер иного межбюджетного трансферта, его целевое назначение;</w:t>
      </w:r>
    </w:p>
    <w:p w:rsidR="00A72861" w:rsidRPr="00A72861" w:rsidRDefault="00E63C02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значение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 </w:t>
      </w:r>
      <w:r w:rsidR="00AA35AF">
        <w:rPr>
          <w:rFonts w:ascii="TimesNewRomanPSMT" w:hAnsi="TimesNewRomanPSMT" w:cs="TimesNewRomanPSMT"/>
          <w:sz w:val="28"/>
          <w:szCs w:val="28"/>
        </w:rPr>
        <w:t>результата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 использования иного межбюджетного трансферта;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порядок и сроки перечисления иного межбюджетного трансферта;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сроки, порядок и формы представления отчета о расходах бюджета муниц</w:t>
      </w:r>
      <w:r w:rsidRPr="00A72861">
        <w:rPr>
          <w:rFonts w:ascii="TimesNewRomanPSMT" w:hAnsi="TimesNewRomanPSMT" w:cs="TimesNewRomanPSMT"/>
          <w:sz w:val="28"/>
          <w:szCs w:val="28"/>
        </w:rPr>
        <w:t>и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пального образования, источником финансового обеспечения которых является иной межбюджетный трансферт, и отчета о </w:t>
      </w:r>
      <w:r w:rsidR="00D43C90">
        <w:rPr>
          <w:rFonts w:ascii="TimesNewRomanPSMT" w:hAnsi="TimesNewRomanPSMT" w:cs="TimesNewRomanPSMT"/>
          <w:sz w:val="28"/>
          <w:szCs w:val="28"/>
        </w:rPr>
        <w:t>достижении п</w:t>
      </w:r>
      <w:bookmarkStart w:id="1" w:name="_GoBack"/>
      <w:bookmarkEnd w:id="1"/>
      <w:r w:rsidR="00D43C90">
        <w:rPr>
          <w:rFonts w:ascii="TimesNewRomanPSMT" w:hAnsi="TimesNewRomanPSMT" w:cs="TimesNewRomanPSMT"/>
          <w:sz w:val="28"/>
          <w:szCs w:val="28"/>
        </w:rPr>
        <w:t>оказателя результата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 и</w:t>
      </w:r>
      <w:r w:rsidRPr="00A72861">
        <w:rPr>
          <w:rFonts w:ascii="TimesNewRomanPSMT" w:hAnsi="TimesNewRomanPSMT" w:cs="TimesNewRomanPSMT"/>
          <w:sz w:val="28"/>
          <w:szCs w:val="28"/>
        </w:rPr>
        <w:t>с</w:t>
      </w:r>
      <w:r w:rsidRPr="00A72861">
        <w:rPr>
          <w:rFonts w:ascii="TimesNewRomanPSMT" w:hAnsi="TimesNewRomanPSMT" w:cs="TimesNewRomanPSMT"/>
          <w:sz w:val="28"/>
          <w:szCs w:val="28"/>
        </w:rPr>
        <w:t>пользования иного межбюджетного трансферта;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порядок осуществления </w:t>
      </w:r>
      <w:proofErr w:type="gramStart"/>
      <w:r w:rsidRPr="00A72861">
        <w:rPr>
          <w:rFonts w:ascii="TimesNewRomanPSMT" w:hAnsi="TimesNewRomanPSMT" w:cs="TimesNewRomanPSMT"/>
          <w:sz w:val="28"/>
          <w:szCs w:val="28"/>
        </w:rPr>
        <w:t>контроля за</w:t>
      </w:r>
      <w:proofErr w:type="gramEnd"/>
      <w:r w:rsidRPr="00A72861">
        <w:rPr>
          <w:rFonts w:ascii="TimesNewRomanPSMT" w:hAnsi="TimesNewRomanPSMT" w:cs="TimesNewRomanPSMT"/>
          <w:sz w:val="28"/>
          <w:szCs w:val="28"/>
        </w:rPr>
        <w:t xml:space="preserve"> соблюдением уполномоченным органом обязательств, предусмотренных соглашением;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порядок расторжения соглашения в случае нарушения условий, установле</w:t>
      </w:r>
      <w:r w:rsidRPr="00A72861">
        <w:rPr>
          <w:rFonts w:ascii="TimesNewRomanPSMT" w:hAnsi="TimesNewRomanPSMT" w:cs="TimesNewRomanPSMT"/>
          <w:sz w:val="28"/>
          <w:szCs w:val="28"/>
        </w:rPr>
        <w:t>н</w:t>
      </w:r>
      <w:r w:rsidRPr="00A72861">
        <w:rPr>
          <w:rFonts w:ascii="TimesNewRomanPSMT" w:hAnsi="TimesNewRomanPSMT" w:cs="TimesNewRomanPSMT"/>
          <w:sz w:val="28"/>
          <w:szCs w:val="28"/>
        </w:rPr>
        <w:t>ных настоящим Порядком;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ответственность сторон за нарушение условий соглашения.</w:t>
      </w:r>
    </w:p>
    <w:p w:rsidR="00641C64" w:rsidRPr="00136275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136275">
        <w:rPr>
          <w:rFonts w:ascii="TimesNewRomanPSMT" w:hAnsi="TimesNewRomanPSMT" w:cs="TimesNewRomanPSMT"/>
          <w:sz w:val="28"/>
          <w:szCs w:val="28"/>
        </w:rPr>
        <w:t>9</w:t>
      </w:r>
      <w:r w:rsidR="00A72861" w:rsidRPr="00136275">
        <w:rPr>
          <w:rFonts w:ascii="TimesNewRomanPSMT" w:hAnsi="TimesNewRomanPSMT" w:cs="TimesNewRomanPSMT"/>
          <w:sz w:val="28"/>
          <w:szCs w:val="28"/>
        </w:rPr>
        <w:t xml:space="preserve">. </w:t>
      </w:r>
      <w:r w:rsidR="00C7024B" w:rsidRPr="00136275">
        <w:rPr>
          <w:rFonts w:ascii="TimesNewRomanPSMT" w:hAnsi="TimesNewRomanPSMT" w:cs="TimesNewRomanPSMT"/>
          <w:sz w:val="28"/>
          <w:szCs w:val="28"/>
        </w:rPr>
        <w:t>Результатом</w:t>
      </w:r>
      <w:r w:rsidR="00A72861" w:rsidRPr="00136275">
        <w:rPr>
          <w:rFonts w:ascii="TimesNewRomanPSMT" w:hAnsi="TimesNewRomanPSMT" w:cs="TimesNewRomanPSMT"/>
          <w:sz w:val="28"/>
          <w:szCs w:val="28"/>
        </w:rPr>
        <w:t xml:space="preserve"> использования иных межбюджетных трансфертов является</w:t>
      </w:r>
      <w:r w:rsidR="00641C64" w:rsidRPr="00136275">
        <w:rPr>
          <w:rFonts w:ascii="TimesNewRomanPSMT" w:hAnsi="TimesNewRomanPSMT" w:cs="TimesNewRomanPSMT"/>
          <w:sz w:val="28"/>
          <w:szCs w:val="28"/>
        </w:rPr>
        <w:t xml:space="preserve"> </w:t>
      </w:r>
      <w:r w:rsidR="00576EC8" w:rsidRPr="00136275">
        <w:rPr>
          <w:rFonts w:ascii="TimesNewRomanPSMT" w:hAnsi="TimesNewRomanPSMT" w:cs="TimesNewRomanPSMT"/>
          <w:sz w:val="28"/>
          <w:szCs w:val="28"/>
        </w:rPr>
        <w:t xml:space="preserve">своевременная </w:t>
      </w:r>
      <w:r w:rsidR="00136275" w:rsidRPr="00136275">
        <w:rPr>
          <w:rFonts w:ascii="TimesNewRomanPSMT" w:hAnsi="TimesNewRomanPSMT" w:cs="TimesNewRomanPSMT"/>
          <w:sz w:val="28"/>
          <w:szCs w:val="28"/>
        </w:rPr>
        <w:t>уплата</w:t>
      </w:r>
      <w:r w:rsidR="00576EC8" w:rsidRPr="00136275">
        <w:rPr>
          <w:rFonts w:ascii="TimesNewRomanPSMT" w:hAnsi="TimesNewRomanPSMT" w:cs="TimesNewRomanPSMT"/>
          <w:sz w:val="28"/>
          <w:szCs w:val="28"/>
        </w:rPr>
        <w:t xml:space="preserve"> налога на имущество за </w:t>
      </w:r>
      <w:r w:rsidR="00136275" w:rsidRPr="00136275">
        <w:rPr>
          <w:rFonts w:ascii="TimesNewRomanPSMT" w:hAnsi="TimesNewRomanPSMT" w:cs="TimesNewRomanPSMT"/>
          <w:sz w:val="28"/>
          <w:szCs w:val="28"/>
        </w:rPr>
        <w:t>соответствующий</w:t>
      </w:r>
      <w:r w:rsidR="00576EC8" w:rsidRPr="00136275">
        <w:rPr>
          <w:rFonts w:ascii="TimesNewRomanPSMT" w:hAnsi="TimesNewRomanPSMT" w:cs="TimesNewRomanPSMT"/>
          <w:sz w:val="28"/>
          <w:szCs w:val="28"/>
        </w:rPr>
        <w:t xml:space="preserve"> период</w:t>
      </w:r>
      <w:r w:rsidR="00641C64" w:rsidRPr="00136275">
        <w:rPr>
          <w:rFonts w:ascii="TimesNewRomanPSMT" w:hAnsi="TimesNewRomanPSMT" w:cs="TimesNewRomanPSMT"/>
          <w:sz w:val="28"/>
          <w:szCs w:val="28"/>
        </w:rPr>
        <w:t>.</w:t>
      </w:r>
    </w:p>
    <w:p w:rsidR="00641C64" w:rsidRDefault="00641C64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Оценка достижения результата использования иных межбюджетных тран</w:t>
      </w:r>
      <w:r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 xml:space="preserve">фертов осуществляется Министерством </w:t>
      </w:r>
      <w:r w:rsidRPr="00AA35AF">
        <w:rPr>
          <w:rFonts w:ascii="TimesNewRomanPSMT" w:hAnsi="TimesNewRomanPSMT" w:cs="TimesNewRomanPSMT"/>
          <w:sz w:val="28"/>
          <w:szCs w:val="28"/>
        </w:rPr>
        <w:t>на основании предоставленных муниц</w:t>
      </w:r>
      <w:r w:rsidR="00E63C02">
        <w:rPr>
          <w:rFonts w:ascii="TimesNewRomanPSMT" w:hAnsi="TimesNewRomanPSMT" w:cs="TimesNewRomanPSMT"/>
          <w:sz w:val="28"/>
          <w:szCs w:val="28"/>
        </w:rPr>
        <w:t>и</w:t>
      </w:r>
      <w:r w:rsidRPr="00AA35AF">
        <w:rPr>
          <w:rFonts w:ascii="TimesNewRomanPSMT" w:hAnsi="TimesNewRomanPSMT" w:cs="TimesNewRomanPSMT"/>
          <w:sz w:val="28"/>
          <w:szCs w:val="28"/>
        </w:rPr>
        <w:t>пальным образованием отчетов, указанных в пункте 1</w:t>
      </w:r>
      <w:r w:rsidR="00AA35AF" w:rsidRPr="00AA35AF">
        <w:rPr>
          <w:rFonts w:ascii="TimesNewRomanPSMT" w:hAnsi="TimesNewRomanPSMT" w:cs="TimesNewRomanPSMT"/>
          <w:sz w:val="28"/>
          <w:szCs w:val="28"/>
        </w:rPr>
        <w:t>1</w:t>
      </w:r>
      <w:r w:rsidRPr="00AA35AF">
        <w:rPr>
          <w:rFonts w:ascii="TimesNewRomanPSMT" w:hAnsi="TimesNewRomanPSMT" w:cs="TimesNewRomanPSMT"/>
          <w:sz w:val="28"/>
          <w:szCs w:val="28"/>
        </w:rPr>
        <w:t xml:space="preserve"> настоящего</w:t>
      </w:r>
      <w:r>
        <w:rPr>
          <w:rFonts w:ascii="TimesNewRomanPSMT" w:hAnsi="TimesNewRomanPSMT" w:cs="TimesNewRomanPSMT"/>
          <w:sz w:val="28"/>
          <w:szCs w:val="28"/>
        </w:rPr>
        <w:t xml:space="preserve"> Порядка.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Министерство в 20-дневный срок, исчисляемый в рабочих днях, со дня з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ключения соглашения перечисляет иной межбюджетный трансферт на лицевой счет, открытый территориальному органу Федерального казначейства в учрежд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е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ниях Центрального банка Российской Федерации для учета операций со средств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ми бюджета муниципального образования.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Уполномоченный орган представляет в Министерство отчет о расходах бюджета муниципального образования, источником финансового обеспечения к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о</w:t>
      </w:r>
      <w:r w:rsidR="00A72861" w:rsidRPr="00A72861">
        <w:rPr>
          <w:rFonts w:ascii="TimesNewRomanPSMT" w:hAnsi="TimesNewRomanPSMT" w:cs="TimesNewRomanPSMT"/>
          <w:sz w:val="28"/>
          <w:szCs w:val="28"/>
        </w:rPr>
        <w:lastRenderedPageBreak/>
        <w:t xml:space="preserve">торых является иной межбюджетный трансферт, и отчет о достижении </w:t>
      </w:r>
      <w:r w:rsidR="00641C64">
        <w:rPr>
          <w:rFonts w:ascii="TimesNewRomanPSMT" w:hAnsi="TimesNewRomanPSMT" w:cs="TimesNewRomanPSMT"/>
          <w:sz w:val="28"/>
          <w:szCs w:val="28"/>
        </w:rPr>
        <w:t>результата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 использования иного межбюджетного трансферта согласно форме и порядку, предусмотренным соглашением.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A72861" w:rsidRPr="00A72861">
        <w:rPr>
          <w:rFonts w:ascii="TimesNewRomanPSMT" w:hAnsi="TimesNewRomanPSMT" w:cs="TimesNewRomanPSMT"/>
          <w:sz w:val="28"/>
          <w:szCs w:val="28"/>
        </w:rPr>
        <w:t>В случае если муниципальн</w:t>
      </w:r>
      <w:r w:rsidR="00576EC8">
        <w:rPr>
          <w:rFonts w:ascii="TimesNewRomanPSMT" w:hAnsi="TimesNewRomanPSMT" w:cs="TimesNewRomanPSMT"/>
          <w:sz w:val="28"/>
          <w:szCs w:val="28"/>
        </w:rPr>
        <w:t>ым образованием по состоянию на</w:t>
      </w:r>
      <w:r w:rsidR="00576EC8" w:rsidRPr="00A72861">
        <w:rPr>
          <w:rFonts w:ascii="TimesNewRomanPSMT" w:hAnsi="TimesNewRomanPSMT" w:cs="TimesNewRomanPSMT"/>
          <w:sz w:val="28"/>
          <w:szCs w:val="28"/>
        </w:rPr>
        <w:t xml:space="preserve"> </w:t>
      </w:r>
      <w:r w:rsidR="00136275">
        <w:rPr>
          <w:rFonts w:ascii="TimesNewRomanPSMT" w:hAnsi="TimesNewRomanPSMT" w:cs="TimesNewRomanPSMT"/>
          <w:sz w:val="28"/>
          <w:szCs w:val="28"/>
        </w:rPr>
        <w:t>31 декабря</w:t>
      </w:r>
      <w:r w:rsidR="00576EC8" w:rsidRPr="00A72861">
        <w:rPr>
          <w:rFonts w:ascii="TimesNewRomanPSMT" w:hAnsi="TimesNewRomanPSMT" w:cs="TimesNewRomanPSMT"/>
          <w:sz w:val="28"/>
          <w:szCs w:val="28"/>
        </w:rPr>
        <w:t xml:space="preserve"> года</w:t>
      </w:r>
      <w:r w:rsidR="00576EC8">
        <w:rPr>
          <w:rFonts w:ascii="TimesNewRomanPSMT" w:hAnsi="TimesNewRomanPSMT" w:cs="TimesNewRomanPSMT"/>
          <w:sz w:val="28"/>
          <w:szCs w:val="28"/>
        </w:rPr>
        <w:t xml:space="preserve"> </w:t>
      </w:r>
      <w:r w:rsidR="00576EC8" w:rsidRPr="00A72861">
        <w:rPr>
          <w:rFonts w:ascii="TimesNewRomanPSMT" w:hAnsi="TimesNewRomanPSMT" w:cs="TimesNewRomanPSMT"/>
          <w:sz w:val="28"/>
          <w:szCs w:val="28"/>
        </w:rPr>
        <w:t>предоставления иного межбюджетного трансферта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 не достигнуто значение </w:t>
      </w:r>
      <w:r w:rsidR="00B319FD">
        <w:rPr>
          <w:rFonts w:ascii="TimesNewRomanPSMT" w:hAnsi="TimesNewRomanPSMT" w:cs="TimesNewRomanPSMT"/>
          <w:sz w:val="28"/>
          <w:szCs w:val="28"/>
        </w:rPr>
        <w:t>резу</w:t>
      </w:r>
      <w:r>
        <w:rPr>
          <w:rFonts w:ascii="TimesNewRomanPSMT" w:hAnsi="TimesNewRomanPSMT" w:cs="TimesNewRomanPSMT"/>
          <w:sz w:val="28"/>
          <w:szCs w:val="28"/>
        </w:rPr>
        <w:t>л</w:t>
      </w:r>
      <w:r>
        <w:rPr>
          <w:rFonts w:ascii="TimesNewRomanPSMT" w:hAnsi="TimesNewRomanPSMT" w:cs="TimesNewRomanPSMT"/>
          <w:sz w:val="28"/>
          <w:szCs w:val="28"/>
        </w:rPr>
        <w:t>ь</w:t>
      </w:r>
      <w:r>
        <w:rPr>
          <w:rFonts w:ascii="TimesNewRomanPSMT" w:hAnsi="TimesNewRomanPSMT" w:cs="TimesNewRomanPSMT"/>
          <w:sz w:val="28"/>
          <w:szCs w:val="28"/>
        </w:rPr>
        <w:t>тата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 использования иных межбюджетных трансфертов, предусмотренное соглаш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е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нием, объем средств, подлежащих возврату из бюджета муниципального образов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ния в бюджет Республики Татарстан в срок до 1 марта года, следующего за годом предоставления иных межбюджетных трансфертов (</w:t>
      </w:r>
      <w:proofErr w:type="spellStart"/>
      <w:r w:rsidR="00A72861" w:rsidRPr="00A72861">
        <w:rPr>
          <w:rFonts w:ascii="TimesNewRomanPSMT" w:hAnsi="TimesNewRomanPSMT" w:cs="TimesNewRomanPSMT"/>
          <w:sz w:val="28"/>
          <w:szCs w:val="28"/>
        </w:rPr>
        <w:t>V</w:t>
      </w:r>
      <w:r w:rsidR="00A72861" w:rsidRPr="00A72861">
        <w:rPr>
          <w:rFonts w:ascii="TimesNewRomanPSMT" w:hAnsi="TimesNewRomanPSMT" w:cs="TimesNewRomanPSMT"/>
          <w:sz w:val="28"/>
          <w:szCs w:val="28"/>
          <w:vertAlign w:val="subscript"/>
        </w:rPr>
        <w:t>возврата</w:t>
      </w:r>
      <w:proofErr w:type="spellEnd"/>
      <w:r w:rsidR="00A72861" w:rsidRPr="00A72861">
        <w:rPr>
          <w:rFonts w:ascii="TimesNewRomanPSMT" w:hAnsi="TimesNewRomanPSMT" w:cs="TimesNewRomanPSMT"/>
          <w:sz w:val="28"/>
          <w:szCs w:val="28"/>
        </w:rPr>
        <w:t>), определяе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т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ся по фо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р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муле:</w:t>
      </w:r>
      <w:proofErr w:type="gramEnd"/>
    </w:p>
    <w:p w:rsidR="00A72861" w:rsidRPr="00A72861" w:rsidRDefault="00A72861" w:rsidP="00AA35AF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A35AF">
      <w:pPr>
        <w:autoSpaceDE w:val="0"/>
        <w:autoSpaceDN w:val="0"/>
        <w:adjustRightInd w:val="0"/>
        <w:contextualSpacing/>
        <w:jc w:val="center"/>
        <w:rPr>
          <w:rFonts w:ascii="TimesNewRomanPSMT" w:hAnsi="TimesNewRomanPSMT" w:cs="TimesNewRomanPSMT"/>
          <w:sz w:val="28"/>
          <w:szCs w:val="28"/>
        </w:rPr>
      </w:pPr>
      <w:proofErr w:type="spellStart"/>
      <w:proofErr w:type="gramStart"/>
      <w:r w:rsidRPr="00A72861">
        <w:rPr>
          <w:rFonts w:ascii="TimesNewRomanPSMT" w:hAnsi="TimesNewRomanPSMT" w:cs="TimesNewRomanPSMT"/>
          <w:sz w:val="28"/>
          <w:szCs w:val="28"/>
        </w:rPr>
        <w:t>V</w:t>
      </w:r>
      <w:proofErr w:type="gramEnd"/>
      <w:r w:rsidRPr="00A72861">
        <w:rPr>
          <w:rFonts w:ascii="TimesNewRomanPSMT" w:hAnsi="TimesNewRomanPSMT" w:cs="TimesNewRomanPSMT"/>
          <w:sz w:val="28"/>
          <w:szCs w:val="28"/>
          <w:vertAlign w:val="subscript"/>
        </w:rPr>
        <w:t>возврата</w:t>
      </w:r>
      <w:proofErr w:type="spellEnd"/>
      <w:r w:rsidRPr="00A72861">
        <w:rPr>
          <w:rFonts w:ascii="TimesNewRomanPSMT" w:hAnsi="TimesNewRomanPSMT" w:cs="TimesNewRomanPSMT"/>
          <w:sz w:val="28"/>
          <w:szCs w:val="28"/>
        </w:rPr>
        <w:t xml:space="preserve"> = </w:t>
      </w:r>
      <w:r w:rsidR="00AA35AF">
        <w:rPr>
          <w:rFonts w:asciiTheme="minorHAnsi" w:hAnsiTheme="minorHAnsi" w:cs="TimesNewRomanPSMT"/>
          <w:sz w:val="28"/>
          <w:szCs w:val="28"/>
          <w:lang w:val="en-US"/>
        </w:rPr>
        <w:t>H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 x D x 0,1</w:t>
      </w:r>
    </w:p>
    <w:p w:rsidR="00A72861" w:rsidRPr="00A72861" w:rsidRDefault="00A72861" w:rsidP="00AA35AF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A35AF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где: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Theme="minorHAnsi" w:hAnsiTheme="minorHAnsi" w:cs="TimesNewRomanPSMT"/>
          <w:sz w:val="28"/>
          <w:szCs w:val="28"/>
          <w:lang w:val="en-US"/>
        </w:rPr>
        <w:t>H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 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- </w:t>
      </w:r>
      <w:proofErr w:type="gramStart"/>
      <w:r w:rsidR="00A72861" w:rsidRPr="00A72861">
        <w:rPr>
          <w:rFonts w:ascii="TimesNewRomanPSMT" w:hAnsi="TimesNewRomanPSMT" w:cs="TimesNewRomanPSMT"/>
          <w:sz w:val="28"/>
          <w:szCs w:val="28"/>
        </w:rPr>
        <w:t>размер</w:t>
      </w:r>
      <w:proofErr w:type="gramEnd"/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 иного межбюджетного трансферта, предоставленного бюджету м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у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ниципального образования в отчетном финансовом году;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D 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- коэффициент возврата иного межбюджетного трансферта.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При расчете объема средств, подлежащих возврату из бюджета муниц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и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пального образования в бюджет Республики Татарстан, в размере иного межбю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д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жетного трансферта, предоставленного бюджету муниципального образования в отчетном финансовом году, не учитывается размер остатка иного межбюджетного трансферта, не использованного по состоянию на 1 января года, следующего за г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о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дом предоставления иных межбюджетных трансфертов.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14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Коэффициент возврата иного межбюджетного трансферта (D) рассчитыв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ется по формуле:</w:t>
      </w:r>
    </w:p>
    <w:p w:rsidR="00A72861" w:rsidRPr="00A72861" w:rsidRDefault="00A72861" w:rsidP="00AA35AF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A35AF">
      <w:pPr>
        <w:autoSpaceDE w:val="0"/>
        <w:autoSpaceDN w:val="0"/>
        <w:adjustRightInd w:val="0"/>
        <w:contextualSpacing/>
        <w:jc w:val="center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noProof/>
          <w:position w:val="-25"/>
          <w:sz w:val="28"/>
          <w:szCs w:val="28"/>
        </w:rPr>
        <w:drawing>
          <wp:inline distT="0" distB="0" distL="0" distR="0" wp14:anchorId="6C62EFDC" wp14:editId="2A98C8A7">
            <wp:extent cx="871855" cy="47815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61" w:rsidRPr="00A72861" w:rsidRDefault="00A72861" w:rsidP="00AA35AF">
      <w:p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AA35AF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где: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Т - фактически достигнутое на конец года значение </w:t>
      </w:r>
      <w:r w:rsidR="00AA35AF" w:rsidRPr="00AA35AF">
        <w:rPr>
          <w:rFonts w:ascii="TimesNewRomanPSMT" w:hAnsi="TimesNewRomanPSMT" w:cs="TimesNewRomanPSMT"/>
          <w:sz w:val="28"/>
          <w:szCs w:val="28"/>
        </w:rPr>
        <w:t>результата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 использования иного межбюджетного трансферта;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S - плановое значение </w:t>
      </w:r>
      <w:r w:rsidR="00AA35AF" w:rsidRPr="00AA35AF">
        <w:rPr>
          <w:rFonts w:ascii="TimesNewRomanPSMT" w:hAnsi="TimesNewRomanPSMT" w:cs="TimesNewRomanPSMT"/>
          <w:sz w:val="28"/>
          <w:szCs w:val="28"/>
        </w:rPr>
        <w:t>результата</w:t>
      </w:r>
      <w:r w:rsidRPr="00A72861">
        <w:rPr>
          <w:rFonts w:ascii="TimesNewRomanPSMT" w:hAnsi="TimesNewRomanPSMT" w:cs="TimesNewRomanPSMT"/>
          <w:sz w:val="28"/>
          <w:szCs w:val="28"/>
        </w:rPr>
        <w:t xml:space="preserve"> использования иного межбюджетного трансферта, установленное соглашением.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15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В случае нецелевого использования и (или) нарушения муниципальным образованием условий предоставления иного межбюджетного трансферта, в том числе невозврата муниципальным образованием сре</w:t>
      </w:r>
      <w:proofErr w:type="gramStart"/>
      <w:r w:rsidR="00A72861" w:rsidRPr="00A72861">
        <w:rPr>
          <w:rFonts w:ascii="TimesNewRomanPSMT" w:hAnsi="TimesNewRomanPSMT" w:cs="TimesNewRomanPSMT"/>
          <w:sz w:val="28"/>
          <w:szCs w:val="28"/>
        </w:rPr>
        <w:t>дств в б</w:t>
      </w:r>
      <w:proofErr w:type="gramEnd"/>
      <w:r w:rsidR="00A72861" w:rsidRPr="00A72861">
        <w:rPr>
          <w:rFonts w:ascii="TimesNewRomanPSMT" w:hAnsi="TimesNewRomanPSMT" w:cs="TimesNewRomanPSMT"/>
          <w:sz w:val="28"/>
          <w:szCs w:val="28"/>
        </w:rPr>
        <w:t>юджет Республики Т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а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тарстан, к нему применяются меры принуждения, предусмотренные бюджетным законодательством Российской Федерации.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16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. Не использованные по состоянию на 1 января текущего финансового года, следующего за </w:t>
      </w:r>
      <w:proofErr w:type="gramStart"/>
      <w:r w:rsidR="00A72861" w:rsidRPr="00A72861">
        <w:rPr>
          <w:rFonts w:ascii="TimesNewRomanPSMT" w:hAnsi="TimesNewRomanPSMT" w:cs="TimesNewRomanPSMT"/>
          <w:sz w:val="28"/>
          <w:szCs w:val="28"/>
        </w:rPr>
        <w:t>отчетным</w:t>
      </w:r>
      <w:proofErr w:type="gramEnd"/>
      <w:r w:rsidR="00A72861" w:rsidRPr="00A72861">
        <w:rPr>
          <w:rFonts w:ascii="TimesNewRomanPSMT" w:hAnsi="TimesNewRomanPSMT" w:cs="TimesNewRomanPSMT"/>
          <w:sz w:val="28"/>
          <w:szCs w:val="28"/>
        </w:rPr>
        <w:t>, иные межбюджетные трансферты подлежат возврату в доход бюджета Республики Татарстан в течение первых 15 рабочих дней текущего финансового года.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lastRenderedPageBreak/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</w:t>
      </w:r>
      <w:r w:rsidRPr="00A72861">
        <w:rPr>
          <w:rFonts w:ascii="TimesNewRomanPSMT" w:hAnsi="TimesNewRomanPSMT" w:cs="TimesNewRomanPSMT"/>
          <w:sz w:val="28"/>
          <w:szCs w:val="28"/>
        </w:rPr>
        <w:t>е</w:t>
      </w:r>
      <w:r w:rsidRPr="00A72861">
        <w:rPr>
          <w:rFonts w:ascii="TimesNewRomanPSMT" w:hAnsi="TimesNewRomanPSMT" w:cs="TimesNewRomanPSMT"/>
          <w:sz w:val="28"/>
          <w:szCs w:val="28"/>
        </w:rPr>
        <w:t>жат взысканию в доход бюджета Республики Татарстан в порядке, определяемом Министерством, с соблюдением общих требований, установленных Министе</w:t>
      </w:r>
      <w:r w:rsidRPr="00A72861">
        <w:rPr>
          <w:rFonts w:ascii="TimesNewRomanPSMT" w:hAnsi="TimesNewRomanPSMT" w:cs="TimesNewRomanPSMT"/>
          <w:sz w:val="28"/>
          <w:szCs w:val="28"/>
        </w:rPr>
        <w:t>р</w:t>
      </w:r>
      <w:r w:rsidRPr="00A72861">
        <w:rPr>
          <w:rFonts w:ascii="TimesNewRomanPSMT" w:hAnsi="TimesNewRomanPSMT" w:cs="TimesNewRomanPSMT"/>
          <w:sz w:val="28"/>
          <w:szCs w:val="28"/>
        </w:rPr>
        <w:t>ством финансов Российской Федерации.</w:t>
      </w:r>
    </w:p>
    <w:p w:rsidR="00A72861" w:rsidRPr="00A72861" w:rsidRDefault="00A72861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A72861">
        <w:rPr>
          <w:rFonts w:ascii="TimesNewRomanPSMT" w:hAnsi="TimesNewRomanPSMT" w:cs="TimesNewRomanPSMT"/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</w:t>
      </w:r>
      <w:r w:rsidRPr="00A72861">
        <w:rPr>
          <w:rFonts w:ascii="TimesNewRomanPSMT" w:hAnsi="TimesNewRomanPSMT" w:cs="TimesNewRomanPSMT"/>
          <w:sz w:val="28"/>
          <w:szCs w:val="28"/>
        </w:rPr>
        <w:t>д</w:t>
      </w:r>
      <w:r w:rsidRPr="00A72861">
        <w:rPr>
          <w:rFonts w:ascii="TimesNewRomanPSMT" w:hAnsi="TimesNewRomanPSMT" w:cs="TimesNewRomanPSMT"/>
          <w:sz w:val="28"/>
          <w:szCs w:val="28"/>
        </w:rPr>
        <w:t>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</w:t>
      </w:r>
      <w:r w:rsidRPr="00A72861">
        <w:rPr>
          <w:rFonts w:ascii="TimesNewRomanPSMT" w:hAnsi="TimesNewRomanPSMT" w:cs="TimesNewRomanPSMT"/>
          <w:sz w:val="28"/>
          <w:szCs w:val="28"/>
        </w:rPr>
        <w:t>с</w:t>
      </w:r>
      <w:r w:rsidRPr="00A72861">
        <w:rPr>
          <w:rFonts w:ascii="TimesNewRomanPSMT" w:hAnsi="TimesNewRomanPSMT" w:cs="TimesNewRomanPSMT"/>
          <w:sz w:val="28"/>
          <w:szCs w:val="28"/>
        </w:rPr>
        <w:t>фертов.</w:t>
      </w:r>
      <w:proofErr w:type="gramEnd"/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17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Уполномоченный орган несет ответственность согласно законодательству за недостоверность представляемых отчетных сведений и нецелевое использование иного межбюджетного трансферта.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18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. Министерство осуществляет проверку соблюдения условий, целей и п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о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рядка предоставления иных межбюджетных трансфертов, установленных насто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я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щим Порядком и соглашением.</w:t>
      </w:r>
    </w:p>
    <w:p w:rsidR="00A72861" w:rsidRPr="00A72861" w:rsidRDefault="00AA35AF" w:rsidP="00AA35A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19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A72861" w:rsidRPr="00A72861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 целевым использованием иных межбюджетных трансфертов осуществляется Министерством.</w:t>
      </w:r>
    </w:p>
    <w:p w:rsidR="00A72861" w:rsidRPr="00A72861" w:rsidRDefault="00A72861" w:rsidP="00AA35AF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A72861" w:rsidRDefault="00A72861" w:rsidP="00AA35AF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A72861" w:rsidRDefault="00A72861" w:rsidP="00555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5E1A95" w:rsidRDefault="005E1A95" w:rsidP="0082171F">
      <w:pPr>
        <w:pStyle w:val="ConsPlusNormal"/>
        <w:spacing w:line="264" w:lineRule="auto"/>
        <w:ind w:firstLine="539"/>
        <w:jc w:val="center"/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C3" w:rsidRDefault="00B94CC3">
      <w:r>
        <w:separator/>
      </w:r>
    </w:p>
  </w:endnote>
  <w:endnote w:type="continuationSeparator" w:id="0">
    <w:p w:rsidR="00B94CC3" w:rsidRDefault="00B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C3" w:rsidRDefault="00B94CC3">
      <w:r>
        <w:separator/>
      </w:r>
    </w:p>
  </w:footnote>
  <w:footnote w:type="continuationSeparator" w:id="0">
    <w:p w:rsidR="00B94CC3" w:rsidRDefault="00B9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566F"/>
    <w:rsid w:val="000972DB"/>
    <w:rsid w:val="000B1577"/>
    <w:rsid w:val="000B7216"/>
    <w:rsid w:val="000D3A5D"/>
    <w:rsid w:val="00115052"/>
    <w:rsid w:val="001150C5"/>
    <w:rsid w:val="001306F5"/>
    <w:rsid w:val="00136275"/>
    <w:rsid w:val="00142A12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5CA2"/>
    <w:rsid w:val="004E7A3D"/>
    <w:rsid w:val="005055CC"/>
    <w:rsid w:val="00506D45"/>
    <w:rsid w:val="0051464A"/>
    <w:rsid w:val="00515D15"/>
    <w:rsid w:val="0052330F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C0CC1"/>
    <w:rsid w:val="005D4FC2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6D72"/>
    <w:rsid w:val="00687136"/>
    <w:rsid w:val="006943EF"/>
    <w:rsid w:val="006A5700"/>
    <w:rsid w:val="006B622E"/>
    <w:rsid w:val="006B71AD"/>
    <w:rsid w:val="006D1F54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506B4"/>
    <w:rsid w:val="00755C48"/>
    <w:rsid w:val="00762CFF"/>
    <w:rsid w:val="007713CD"/>
    <w:rsid w:val="007828AC"/>
    <w:rsid w:val="007937EB"/>
    <w:rsid w:val="007B30D4"/>
    <w:rsid w:val="007B513C"/>
    <w:rsid w:val="007D02CC"/>
    <w:rsid w:val="007D52D1"/>
    <w:rsid w:val="007F65E4"/>
    <w:rsid w:val="008007C3"/>
    <w:rsid w:val="00806587"/>
    <w:rsid w:val="00815BBC"/>
    <w:rsid w:val="008203F1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D1F84"/>
    <w:rsid w:val="008E199E"/>
    <w:rsid w:val="008F2CF8"/>
    <w:rsid w:val="008F4345"/>
    <w:rsid w:val="008F59F0"/>
    <w:rsid w:val="009104EA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C3CCA"/>
    <w:rsid w:val="00AD280B"/>
    <w:rsid w:val="00AD4F56"/>
    <w:rsid w:val="00AD73B7"/>
    <w:rsid w:val="00AF2BF1"/>
    <w:rsid w:val="00B111BC"/>
    <w:rsid w:val="00B11EBC"/>
    <w:rsid w:val="00B16467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D04A3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3C90"/>
    <w:rsid w:val="00D463A9"/>
    <w:rsid w:val="00D46B0F"/>
    <w:rsid w:val="00D4706C"/>
    <w:rsid w:val="00D740EA"/>
    <w:rsid w:val="00D750FC"/>
    <w:rsid w:val="00DB41B1"/>
    <w:rsid w:val="00DD0B30"/>
    <w:rsid w:val="00DE79AD"/>
    <w:rsid w:val="00DF5C9E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F71E6"/>
    <w:rsid w:val="00F10B11"/>
    <w:rsid w:val="00F14628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1008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9</cp:revision>
  <cp:lastPrinted>2020-10-21T08:33:00Z</cp:lastPrinted>
  <dcterms:created xsi:type="dcterms:W3CDTF">2020-09-30T13:00:00Z</dcterms:created>
  <dcterms:modified xsi:type="dcterms:W3CDTF">2020-10-23T04:58:00Z</dcterms:modified>
</cp:coreProperties>
</file>