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8E" w:rsidRPr="00C02023" w:rsidRDefault="00A5158E" w:rsidP="00A5158E">
      <w:pPr>
        <w:pStyle w:val="a4"/>
        <w:ind w:left="5103" w:right="-53"/>
        <w:rPr>
          <w:sz w:val="28"/>
          <w:szCs w:val="28"/>
        </w:rPr>
      </w:pPr>
      <w:r w:rsidRPr="00C02023">
        <w:rPr>
          <w:sz w:val="28"/>
          <w:szCs w:val="28"/>
        </w:rPr>
        <w:t xml:space="preserve">Выступление Министра финансов РТ Р.Р.Гайзатуллина на сессии Госсовета РТ </w:t>
      </w:r>
      <w:r w:rsidR="00071C7F" w:rsidRPr="00C02023">
        <w:rPr>
          <w:sz w:val="28"/>
          <w:szCs w:val="28"/>
        </w:rPr>
        <w:t>30</w:t>
      </w:r>
      <w:r w:rsidRPr="00C02023">
        <w:rPr>
          <w:sz w:val="28"/>
          <w:szCs w:val="28"/>
        </w:rPr>
        <w:t>.10.201</w:t>
      </w:r>
      <w:r w:rsidR="00071C7F" w:rsidRPr="00C02023">
        <w:rPr>
          <w:sz w:val="28"/>
          <w:szCs w:val="28"/>
        </w:rPr>
        <w:t>4</w:t>
      </w:r>
      <w:r w:rsidRPr="00C02023">
        <w:rPr>
          <w:sz w:val="28"/>
          <w:szCs w:val="28"/>
        </w:rPr>
        <w:t xml:space="preserve"> по рассмотрению </w:t>
      </w:r>
      <w:r w:rsidR="00071C7F" w:rsidRPr="00C02023">
        <w:rPr>
          <w:sz w:val="28"/>
          <w:szCs w:val="28"/>
        </w:rPr>
        <w:t>проекта закона о бюджете на 2015</w:t>
      </w:r>
      <w:r w:rsidRPr="00C02023">
        <w:rPr>
          <w:sz w:val="28"/>
          <w:szCs w:val="28"/>
        </w:rPr>
        <w:t>-1</w:t>
      </w:r>
      <w:r w:rsidR="00071C7F" w:rsidRPr="00C02023">
        <w:rPr>
          <w:sz w:val="28"/>
          <w:szCs w:val="28"/>
        </w:rPr>
        <w:t>7</w:t>
      </w:r>
      <w:r w:rsidRPr="00C02023">
        <w:rPr>
          <w:sz w:val="28"/>
          <w:szCs w:val="28"/>
        </w:rPr>
        <w:t xml:space="preserve"> годы в 1 чтении</w:t>
      </w:r>
    </w:p>
    <w:p w:rsidR="00A5158E" w:rsidRPr="00C02023" w:rsidRDefault="00A5158E" w:rsidP="00C328C0">
      <w:pPr>
        <w:pStyle w:val="a4"/>
        <w:ind w:left="5387" w:right="-53"/>
        <w:rPr>
          <w:sz w:val="28"/>
          <w:szCs w:val="28"/>
        </w:rPr>
      </w:pPr>
    </w:p>
    <w:p w:rsidR="00610A07" w:rsidRPr="00C02023" w:rsidRDefault="00610A07" w:rsidP="00C328C0">
      <w:pPr>
        <w:pStyle w:val="a4"/>
        <w:ind w:left="5387" w:right="-53"/>
        <w:rPr>
          <w:sz w:val="28"/>
          <w:szCs w:val="28"/>
        </w:rPr>
      </w:pPr>
    </w:p>
    <w:p w:rsidR="00610A07" w:rsidRPr="00C02023" w:rsidRDefault="00610A07" w:rsidP="00C328C0">
      <w:pPr>
        <w:pStyle w:val="a4"/>
        <w:ind w:left="5387" w:right="-53"/>
        <w:rPr>
          <w:sz w:val="28"/>
          <w:szCs w:val="28"/>
        </w:rPr>
      </w:pPr>
    </w:p>
    <w:p w:rsidR="00A5158E" w:rsidRPr="00C02023" w:rsidRDefault="00A5158E" w:rsidP="00A5158E">
      <w:pPr>
        <w:shd w:val="clear" w:color="auto" w:fill="FFFFFF"/>
        <w:spacing w:line="360" w:lineRule="auto"/>
        <w:ind w:firstLine="709"/>
        <w:rPr>
          <w:sz w:val="32"/>
          <w:szCs w:val="32"/>
        </w:rPr>
      </w:pPr>
      <w:r w:rsidRPr="00C02023">
        <w:rPr>
          <w:sz w:val="32"/>
          <w:szCs w:val="32"/>
        </w:rPr>
        <w:t>Уважаемый Президент Республики Татарстан!</w:t>
      </w:r>
    </w:p>
    <w:p w:rsidR="00A5158E" w:rsidRPr="00C02023" w:rsidRDefault="00A5158E" w:rsidP="00A5158E">
      <w:pPr>
        <w:shd w:val="clear" w:color="auto" w:fill="FFFFFF"/>
        <w:spacing w:line="360" w:lineRule="auto"/>
        <w:ind w:firstLine="720"/>
        <w:rPr>
          <w:sz w:val="32"/>
          <w:szCs w:val="32"/>
        </w:rPr>
      </w:pPr>
      <w:r w:rsidRPr="00C02023">
        <w:rPr>
          <w:sz w:val="32"/>
          <w:szCs w:val="32"/>
        </w:rPr>
        <w:t>Уважаемый Председатель Государственного Совета!</w:t>
      </w:r>
    </w:p>
    <w:p w:rsidR="00A5158E" w:rsidRPr="00C02023" w:rsidRDefault="00A5158E" w:rsidP="00A5158E">
      <w:pPr>
        <w:shd w:val="clear" w:color="auto" w:fill="FFFFFF"/>
        <w:spacing w:line="360" w:lineRule="auto"/>
        <w:ind w:firstLine="720"/>
        <w:rPr>
          <w:sz w:val="32"/>
          <w:szCs w:val="32"/>
        </w:rPr>
      </w:pPr>
      <w:r w:rsidRPr="00C02023">
        <w:rPr>
          <w:sz w:val="32"/>
          <w:szCs w:val="32"/>
        </w:rPr>
        <w:t xml:space="preserve">Уважаемые депутаты Государственного Совета! </w:t>
      </w:r>
    </w:p>
    <w:p w:rsidR="00A5158E" w:rsidRPr="00C02023" w:rsidRDefault="00A5158E" w:rsidP="00A5158E">
      <w:pPr>
        <w:shd w:val="clear" w:color="auto" w:fill="FFFFFF"/>
        <w:spacing w:line="360" w:lineRule="auto"/>
        <w:ind w:firstLine="720"/>
        <w:rPr>
          <w:sz w:val="32"/>
          <w:szCs w:val="32"/>
        </w:rPr>
      </w:pPr>
      <w:r w:rsidRPr="00C02023">
        <w:rPr>
          <w:sz w:val="32"/>
          <w:szCs w:val="32"/>
        </w:rPr>
        <w:t>Уважаемые приглашенные!</w:t>
      </w:r>
    </w:p>
    <w:p w:rsidR="0058075A" w:rsidRPr="00C02023" w:rsidRDefault="0058075A" w:rsidP="00E54B29">
      <w:pPr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</w:p>
    <w:p w:rsidR="00071C7F" w:rsidRPr="00C02023" w:rsidRDefault="00071C7F" w:rsidP="00071C7F">
      <w:pPr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В соответствии со статьёй 94 Конституции республики и статьёй 61 Бюджетного Кодекса Республики Татарстан Президентом внесен на рассмотрение Государственного Совета законопроект о бюджете на очередной, 2015-ый год и плановый период 2016-ого-2017-ого годов.</w:t>
      </w:r>
    </w:p>
    <w:p w:rsidR="00467D04" w:rsidRPr="00C02023" w:rsidRDefault="00467D04" w:rsidP="00467D04">
      <w:pPr>
        <w:pStyle w:val="Style14"/>
        <w:widowControl/>
        <w:spacing w:line="360" w:lineRule="auto"/>
        <w:ind w:firstLine="720"/>
        <w:rPr>
          <w:sz w:val="32"/>
          <w:szCs w:val="32"/>
        </w:rPr>
      </w:pPr>
      <w:r w:rsidRPr="00C02023">
        <w:rPr>
          <w:sz w:val="32"/>
          <w:szCs w:val="32"/>
        </w:rPr>
        <w:t>Проект закона Республики Татарстан о бюджете подготовлен в соответствии с требованиями, установленными Бюджетным кодексом Российской Федерации и Бюджетным кодексом Республики Татарстан.</w:t>
      </w:r>
    </w:p>
    <w:p w:rsidR="00071C7F" w:rsidRPr="00C02023" w:rsidRDefault="00071C7F" w:rsidP="00071C7F">
      <w:pPr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Прогноз бюджета составлен с учетом ожидаемого исполнения консолидированного бюджета республики, проекта Закона о федеральном бюджете, прогноза социально-экономического развития республики</w:t>
      </w:r>
      <w:r w:rsidR="00467D04" w:rsidRPr="00C02023">
        <w:rPr>
          <w:sz w:val="32"/>
          <w:szCs w:val="32"/>
        </w:rPr>
        <w:t>, вносимых изменений и дополнений в федеральное налоговое и бюджетное законодательство</w:t>
      </w:r>
      <w:r w:rsidRPr="00C02023">
        <w:rPr>
          <w:sz w:val="32"/>
          <w:szCs w:val="32"/>
        </w:rPr>
        <w:t>.</w:t>
      </w:r>
    </w:p>
    <w:p w:rsidR="00071C7F" w:rsidRDefault="00071C7F" w:rsidP="00071C7F">
      <w:pPr>
        <w:pStyle w:val="Style14"/>
        <w:widowControl/>
        <w:spacing w:line="360" w:lineRule="auto"/>
        <w:ind w:firstLine="720"/>
        <w:rPr>
          <w:rStyle w:val="FontStyle33"/>
          <w:sz w:val="32"/>
          <w:szCs w:val="32"/>
        </w:rPr>
      </w:pPr>
      <w:r w:rsidRPr="00C02023">
        <w:rPr>
          <w:rStyle w:val="FontStyle33"/>
          <w:sz w:val="32"/>
          <w:szCs w:val="32"/>
        </w:rPr>
        <w:t xml:space="preserve">Более подробно остановлюсь на факторах непосредственно влияющих на доходную часть бюджета.  </w:t>
      </w:r>
    </w:p>
    <w:p w:rsidR="00071C7F" w:rsidRPr="00C02023" w:rsidRDefault="00417E25" w:rsidP="00417E25">
      <w:pPr>
        <w:pStyle w:val="Style14"/>
        <w:widowControl/>
        <w:spacing w:line="360" w:lineRule="auto"/>
        <w:ind w:firstLine="720"/>
        <w:rPr>
          <w:sz w:val="32"/>
          <w:szCs w:val="32"/>
        </w:rPr>
      </w:pPr>
      <w:r>
        <w:rPr>
          <w:rStyle w:val="FontStyle33"/>
          <w:sz w:val="32"/>
          <w:szCs w:val="32"/>
        </w:rPr>
        <w:t>Продолжится влияние ранее  принятых решений на федеральном уровне</w:t>
      </w:r>
      <w:r w:rsidR="00394163">
        <w:rPr>
          <w:rStyle w:val="FontStyle33"/>
          <w:sz w:val="32"/>
          <w:szCs w:val="32"/>
        </w:rPr>
        <w:t>.</w:t>
      </w:r>
      <w:r>
        <w:rPr>
          <w:rStyle w:val="FontStyle33"/>
          <w:sz w:val="32"/>
          <w:szCs w:val="32"/>
        </w:rPr>
        <w:t xml:space="preserve"> </w:t>
      </w:r>
      <w:r w:rsidR="00394163">
        <w:rPr>
          <w:rStyle w:val="FontStyle33"/>
          <w:sz w:val="32"/>
          <w:szCs w:val="32"/>
        </w:rPr>
        <w:t>Э</w:t>
      </w:r>
      <w:bookmarkStart w:id="0" w:name="_GoBack"/>
      <w:bookmarkEnd w:id="0"/>
      <w:r w:rsidR="00071C7F" w:rsidRPr="00C02023">
        <w:rPr>
          <w:sz w:val="32"/>
          <w:szCs w:val="32"/>
        </w:rPr>
        <w:t xml:space="preserve">то: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 xml:space="preserve">-  отмена ранее предусмотренного повышения ставок акцизов на алкогольную продукцию и пиво (1,6 млрд. рублей);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lastRenderedPageBreak/>
        <w:t>- исключение из налогооблагаемой базы  вновь вводимого движимого имущества (6,5 млрд. рублей) и амортизационной премии (6,6 млрд. рублей).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 xml:space="preserve">Вышеназванные изменения федерального законодательства </w:t>
      </w:r>
      <w:r w:rsidR="00417E25">
        <w:rPr>
          <w:sz w:val="32"/>
          <w:szCs w:val="32"/>
        </w:rPr>
        <w:t>сокращают</w:t>
      </w:r>
      <w:r w:rsidRPr="00C02023">
        <w:rPr>
          <w:sz w:val="32"/>
          <w:szCs w:val="32"/>
        </w:rPr>
        <w:t xml:space="preserve"> доход</w:t>
      </w:r>
      <w:r w:rsidR="00417E25">
        <w:rPr>
          <w:sz w:val="32"/>
          <w:szCs w:val="32"/>
        </w:rPr>
        <w:t>ы</w:t>
      </w:r>
      <w:r w:rsidRPr="00C02023">
        <w:rPr>
          <w:sz w:val="32"/>
          <w:szCs w:val="32"/>
        </w:rPr>
        <w:t xml:space="preserve"> бюджета республики и создают значительную напряженность при исполнении бюджета. </w:t>
      </w:r>
    </w:p>
    <w:p w:rsidR="00071C7F" w:rsidRPr="00C02023" w:rsidRDefault="00071C7F" w:rsidP="00071C7F">
      <w:pPr>
        <w:spacing w:line="360" w:lineRule="auto"/>
        <w:ind w:firstLine="567"/>
        <w:jc w:val="both"/>
        <w:rPr>
          <w:sz w:val="32"/>
          <w:szCs w:val="32"/>
        </w:rPr>
      </w:pPr>
      <w:r w:rsidRPr="00C02023">
        <w:rPr>
          <w:b/>
          <w:sz w:val="32"/>
          <w:szCs w:val="32"/>
        </w:rPr>
        <w:t>Следующий фактор</w:t>
      </w:r>
      <w:r w:rsidRPr="00C02023">
        <w:rPr>
          <w:sz w:val="32"/>
          <w:szCs w:val="32"/>
        </w:rPr>
        <w:t xml:space="preserve"> – напряженное исполнение бюджета в текущем году и плановом периоде. Кроме наличия дефицита бюджета имеются определенные риски в мобилизации отдельных бюджетообразующих налог</w:t>
      </w:r>
      <w:r w:rsidR="009D5432" w:rsidRPr="00C02023">
        <w:rPr>
          <w:sz w:val="32"/>
          <w:szCs w:val="32"/>
        </w:rPr>
        <w:t>ов</w:t>
      </w:r>
      <w:r w:rsidRPr="00C02023">
        <w:rPr>
          <w:sz w:val="32"/>
          <w:szCs w:val="32"/>
        </w:rPr>
        <w:t>.</w:t>
      </w:r>
    </w:p>
    <w:p w:rsidR="00071C7F" w:rsidRPr="00C02023" w:rsidRDefault="00071C7F" w:rsidP="00071C7F">
      <w:pPr>
        <w:tabs>
          <w:tab w:val="left" w:pos="9923"/>
        </w:tabs>
        <w:spacing w:line="360" w:lineRule="auto"/>
        <w:ind w:right="-1"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По итогам исполнения бюджета за 9 месяцев, при наличии положительной динамики поступлений налога на прибыль, наблюдается негативная тенденция роста количества предприятий, снижающих платежи по налогу.</w:t>
      </w:r>
    </w:p>
    <w:p w:rsidR="00071C7F" w:rsidRPr="00C02023" w:rsidRDefault="00071C7F" w:rsidP="00071C7F">
      <w:pPr>
        <w:tabs>
          <w:tab w:val="left" w:pos="9923"/>
        </w:tabs>
        <w:spacing w:line="360" w:lineRule="auto"/>
        <w:ind w:right="-1" w:firstLine="709"/>
        <w:jc w:val="both"/>
        <w:rPr>
          <w:sz w:val="32"/>
          <w:szCs w:val="32"/>
        </w:rPr>
      </w:pPr>
    </w:p>
    <w:p w:rsidR="00071C7F" w:rsidRPr="00C02023" w:rsidRDefault="00071C7F" w:rsidP="00071C7F">
      <w:pPr>
        <w:tabs>
          <w:tab w:val="left" w:pos="9923"/>
        </w:tabs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Кроме наличия налогоплательщиков, снизивших платежи за 9 месяцев, к отрицательным факторам можно отнести рост убытков и наличие переплаты.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С учетом вышеназванных обстоятельств Министерством финансов с</w:t>
      </w:r>
      <w:r w:rsidRPr="00C02023">
        <w:rPr>
          <w:spacing w:val="-2"/>
          <w:sz w:val="32"/>
          <w:szCs w:val="32"/>
        </w:rPr>
        <w:t xml:space="preserve">овместно с Министерством экономики, налоговой службой, отраслевыми министерствами, администраторами доходов, предприятиями </w:t>
      </w:r>
      <w:r w:rsidRPr="00C02023">
        <w:rPr>
          <w:sz w:val="32"/>
          <w:szCs w:val="32"/>
        </w:rPr>
        <w:t xml:space="preserve">произведены расчеты по доходным источникам на 2015-17 годы. </w:t>
      </w:r>
    </w:p>
    <w:p w:rsidR="00071C7F" w:rsidRPr="00C02023" w:rsidRDefault="00071C7F" w:rsidP="00071C7F">
      <w:pPr>
        <w:pStyle w:val="Style14"/>
        <w:widowControl/>
        <w:spacing w:line="360" w:lineRule="auto"/>
        <w:ind w:firstLine="720"/>
        <w:rPr>
          <w:rStyle w:val="FontStyle33"/>
          <w:sz w:val="32"/>
          <w:szCs w:val="32"/>
        </w:rPr>
      </w:pPr>
      <w:r w:rsidRPr="00C02023">
        <w:rPr>
          <w:rStyle w:val="FontStyle33"/>
          <w:sz w:val="32"/>
          <w:szCs w:val="32"/>
        </w:rPr>
        <w:t xml:space="preserve">              </w:t>
      </w:r>
      <w:r w:rsidRPr="00C02023">
        <w:rPr>
          <w:rStyle w:val="FontStyle33"/>
          <w:sz w:val="32"/>
          <w:szCs w:val="32"/>
          <w:u w:val="single"/>
        </w:rPr>
        <w:t>Доходы</w:t>
      </w:r>
      <w:r w:rsidRPr="00C02023">
        <w:rPr>
          <w:rStyle w:val="FontStyle33"/>
          <w:sz w:val="32"/>
          <w:szCs w:val="32"/>
        </w:rPr>
        <w:t>.</w:t>
      </w:r>
    </w:p>
    <w:p w:rsidR="002912FE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 xml:space="preserve">Поступление </w:t>
      </w:r>
      <w:r w:rsidRPr="00C02023">
        <w:rPr>
          <w:b/>
          <w:sz w:val="32"/>
          <w:szCs w:val="32"/>
        </w:rPr>
        <w:t>налога</w:t>
      </w:r>
      <w:r w:rsidRPr="00C02023">
        <w:rPr>
          <w:sz w:val="32"/>
          <w:szCs w:val="32"/>
        </w:rPr>
        <w:t xml:space="preserve"> </w:t>
      </w:r>
      <w:r w:rsidRPr="00C02023">
        <w:rPr>
          <w:b/>
          <w:sz w:val="32"/>
          <w:szCs w:val="32"/>
        </w:rPr>
        <w:t>на доходы физических лиц</w:t>
      </w:r>
      <w:r w:rsidRPr="00C02023">
        <w:rPr>
          <w:sz w:val="32"/>
          <w:szCs w:val="32"/>
        </w:rPr>
        <w:t xml:space="preserve"> в консолидированный бюджет Республики Татарстан в 2015 году </w:t>
      </w:r>
      <w:r w:rsidRPr="00C02023">
        <w:rPr>
          <w:sz w:val="32"/>
          <w:szCs w:val="32"/>
        </w:rPr>
        <w:lastRenderedPageBreak/>
        <w:t>прогнозируется в сумме 58,9</w:t>
      </w:r>
      <w:r w:rsidR="002912FE" w:rsidRPr="00C02023">
        <w:rPr>
          <w:sz w:val="32"/>
          <w:szCs w:val="32"/>
        </w:rPr>
        <w:t xml:space="preserve"> млрд. рублей. </w:t>
      </w:r>
      <w:r w:rsidR="002912FE" w:rsidRPr="00C02023">
        <w:rPr>
          <w:rStyle w:val="FontStyle33"/>
          <w:sz w:val="32"/>
          <w:szCs w:val="32"/>
        </w:rPr>
        <w:t xml:space="preserve">Поступления в бюджет республики составят </w:t>
      </w:r>
      <w:r w:rsidRPr="00C02023">
        <w:rPr>
          <w:sz w:val="32"/>
          <w:szCs w:val="32"/>
        </w:rPr>
        <w:t xml:space="preserve">– 41,2 млрд. рублей.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Расчеты по налогу производились исходя из прогнозируемого Министерством экономики фонда оплаты труда, темпов роста средней заработной платы и среднего процента изъятия налога.</w:t>
      </w:r>
    </w:p>
    <w:p w:rsidR="007843F4" w:rsidRDefault="002912FE" w:rsidP="00071C7F">
      <w:pPr>
        <w:pStyle w:val="14"/>
        <w:ind w:firstLine="709"/>
        <w:rPr>
          <w:sz w:val="32"/>
          <w:szCs w:val="32"/>
        </w:rPr>
      </w:pPr>
      <w:r w:rsidRPr="00C02023">
        <w:rPr>
          <w:rStyle w:val="FontStyle33"/>
          <w:sz w:val="32"/>
          <w:szCs w:val="32"/>
        </w:rPr>
        <w:t xml:space="preserve">Следующим доходным источником бюджета является </w:t>
      </w:r>
      <w:r w:rsidRPr="00C02023">
        <w:rPr>
          <w:rStyle w:val="FontStyle33"/>
          <w:b/>
          <w:sz w:val="32"/>
          <w:szCs w:val="32"/>
        </w:rPr>
        <w:t>налог</w:t>
      </w:r>
      <w:r w:rsidRPr="00C02023">
        <w:rPr>
          <w:rStyle w:val="FontStyle33"/>
          <w:sz w:val="32"/>
          <w:szCs w:val="32"/>
        </w:rPr>
        <w:t xml:space="preserve"> </w:t>
      </w:r>
      <w:r w:rsidRPr="00C02023">
        <w:rPr>
          <w:rStyle w:val="FontStyle33"/>
          <w:b/>
          <w:sz w:val="32"/>
          <w:szCs w:val="32"/>
        </w:rPr>
        <w:t>на прибыль</w:t>
      </w:r>
      <w:r w:rsidRPr="00C02023">
        <w:rPr>
          <w:rStyle w:val="FontStyle33"/>
          <w:sz w:val="32"/>
          <w:szCs w:val="32"/>
        </w:rPr>
        <w:t xml:space="preserve">, поступление по которому прогнозируется в 2015 году </w:t>
      </w:r>
      <w:r w:rsidR="00071C7F" w:rsidRPr="00C02023">
        <w:rPr>
          <w:sz w:val="32"/>
          <w:szCs w:val="32"/>
        </w:rPr>
        <w:t xml:space="preserve">в размере 50,2 млрд. рублей. </w:t>
      </w:r>
    </w:p>
    <w:p w:rsidR="00071C7F" w:rsidRPr="00C02023" w:rsidRDefault="00071C7F" w:rsidP="00071C7F">
      <w:pPr>
        <w:pStyle w:val="14"/>
        <w:ind w:firstLine="709"/>
        <w:rPr>
          <w:sz w:val="32"/>
          <w:szCs w:val="32"/>
        </w:rPr>
      </w:pPr>
      <w:r w:rsidRPr="00C02023">
        <w:rPr>
          <w:sz w:val="32"/>
          <w:szCs w:val="32"/>
        </w:rPr>
        <w:t xml:space="preserve">В структуре налога традиционно значительный удельный вес занимает нефтяная отрасль.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При оценке налоговых поступлений использованы данные бизнес – проектов крупных и средних организаций республики. На совещаниях с участием Министерства экономики, налоговой службы, отраслевых министерств рассмотрено порядка 250 предприятий, которые уплачивают в бюджет более 70-ти % налога на прибыль. При прогнозе также учтены сложившиеся тенденции уплаты налога по отраслям экономики.</w:t>
      </w:r>
    </w:p>
    <w:p w:rsidR="00071C7F" w:rsidRPr="00C02023" w:rsidRDefault="00071C7F" w:rsidP="00071C7F">
      <w:pPr>
        <w:shd w:val="clear" w:color="auto" w:fill="FFFFFF"/>
        <w:tabs>
          <w:tab w:val="left" w:leader="hyphen" w:pos="-567"/>
        </w:tabs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 xml:space="preserve">Прогноз поступления </w:t>
      </w:r>
      <w:r w:rsidRPr="00C02023">
        <w:rPr>
          <w:b/>
          <w:bCs/>
          <w:sz w:val="32"/>
          <w:szCs w:val="32"/>
        </w:rPr>
        <w:t xml:space="preserve">акцизов </w:t>
      </w:r>
      <w:r w:rsidRPr="00C02023">
        <w:rPr>
          <w:sz w:val="32"/>
          <w:szCs w:val="32"/>
        </w:rPr>
        <w:t>на 2015 год в консолидированный бюджет Республики Татарстан составляет 13,8 млрд. рублей</w:t>
      </w:r>
      <w:r w:rsidR="002912FE" w:rsidRPr="00C02023">
        <w:rPr>
          <w:sz w:val="32"/>
          <w:szCs w:val="32"/>
        </w:rPr>
        <w:t>, в бюджет республики – 13,1 млрд. рублей</w:t>
      </w:r>
      <w:r w:rsidRPr="00C02023">
        <w:rPr>
          <w:sz w:val="32"/>
          <w:szCs w:val="32"/>
        </w:rPr>
        <w:t xml:space="preserve">. </w:t>
      </w:r>
    </w:p>
    <w:p w:rsidR="003F1DE8" w:rsidRPr="00C02023" w:rsidRDefault="00071C7F" w:rsidP="00071C7F">
      <w:pPr>
        <w:spacing w:line="360" w:lineRule="auto"/>
        <w:ind w:right="-23"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 xml:space="preserve">Следующий налог – </w:t>
      </w:r>
      <w:r w:rsidRPr="00C02023">
        <w:rPr>
          <w:b/>
          <w:bCs/>
          <w:spacing w:val="-2"/>
          <w:sz w:val="32"/>
          <w:szCs w:val="32"/>
        </w:rPr>
        <w:t xml:space="preserve">налог на имущество организаций. </w:t>
      </w:r>
      <w:r w:rsidRPr="00C02023">
        <w:rPr>
          <w:bCs/>
          <w:spacing w:val="-2"/>
          <w:sz w:val="32"/>
          <w:szCs w:val="32"/>
        </w:rPr>
        <w:t>В</w:t>
      </w:r>
      <w:r w:rsidRPr="00C02023">
        <w:rPr>
          <w:spacing w:val="-2"/>
          <w:sz w:val="32"/>
          <w:szCs w:val="32"/>
        </w:rPr>
        <w:t xml:space="preserve"> 2015 году он прогнозируется в размере 18,7 млрд. рублей. Налог спрогнозирован с учетом инвестиций и законодательно установленных льгот. </w:t>
      </w:r>
    </w:p>
    <w:p w:rsidR="00071C7F" w:rsidRPr="00C02023" w:rsidRDefault="00071C7F" w:rsidP="00071C7F">
      <w:pPr>
        <w:shd w:val="clear" w:color="auto" w:fill="FFFFFF"/>
        <w:spacing w:line="360" w:lineRule="auto"/>
        <w:ind w:firstLine="709"/>
        <w:jc w:val="both"/>
        <w:rPr>
          <w:spacing w:val="-1"/>
          <w:sz w:val="32"/>
          <w:szCs w:val="32"/>
        </w:rPr>
      </w:pPr>
      <w:r w:rsidRPr="00C02023">
        <w:rPr>
          <w:b/>
          <w:bCs/>
          <w:sz w:val="32"/>
          <w:szCs w:val="32"/>
        </w:rPr>
        <w:t>Налог на имущество физических лиц</w:t>
      </w:r>
      <w:r w:rsidRPr="00C02023">
        <w:rPr>
          <w:sz w:val="32"/>
          <w:szCs w:val="32"/>
        </w:rPr>
        <w:t xml:space="preserve">, полностью зачисляемый в бюджеты муниципальных образований, в 2015 году оценивается в </w:t>
      </w:r>
      <w:r w:rsidRPr="00C02023">
        <w:rPr>
          <w:sz w:val="32"/>
          <w:szCs w:val="32"/>
        </w:rPr>
        <w:lastRenderedPageBreak/>
        <w:t>сумме 731</w:t>
      </w:r>
      <w:r w:rsidRPr="00C02023">
        <w:rPr>
          <w:spacing w:val="-1"/>
          <w:sz w:val="32"/>
          <w:szCs w:val="32"/>
        </w:rPr>
        <w:t xml:space="preserve"> млн. рублей. </w:t>
      </w:r>
    </w:p>
    <w:p w:rsidR="00071C7F" w:rsidRPr="00C02023" w:rsidRDefault="00071C7F" w:rsidP="00071C7F">
      <w:pPr>
        <w:shd w:val="clear" w:color="auto" w:fill="FFFFFF"/>
        <w:spacing w:line="360" w:lineRule="auto"/>
        <w:ind w:firstLine="709"/>
        <w:jc w:val="both"/>
        <w:rPr>
          <w:spacing w:val="-1"/>
          <w:sz w:val="32"/>
          <w:szCs w:val="32"/>
        </w:rPr>
      </w:pPr>
      <w:r w:rsidRPr="00C02023">
        <w:rPr>
          <w:sz w:val="32"/>
          <w:szCs w:val="32"/>
        </w:rPr>
        <w:t xml:space="preserve">Значительным доходным источником бюджетов муниципальных </w:t>
      </w:r>
      <w:r w:rsidRPr="00C02023">
        <w:rPr>
          <w:spacing w:val="-1"/>
          <w:sz w:val="32"/>
          <w:szCs w:val="32"/>
        </w:rPr>
        <w:t xml:space="preserve">образований является </w:t>
      </w:r>
      <w:r w:rsidRPr="00C02023">
        <w:rPr>
          <w:b/>
          <w:bCs/>
          <w:spacing w:val="-1"/>
          <w:sz w:val="32"/>
          <w:szCs w:val="32"/>
        </w:rPr>
        <w:t xml:space="preserve">земельный налог. </w:t>
      </w:r>
      <w:r w:rsidRPr="00C02023">
        <w:rPr>
          <w:spacing w:val="-1"/>
          <w:sz w:val="32"/>
          <w:szCs w:val="32"/>
        </w:rPr>
        <w:t xml:space="preserve">Его поступления в 2015 году </w:t>
      </w:r>
      <w:r w:rsidRPr="00C02023">
        <w:rPr>
          <w:sz w:val="32"/>
          <w:szCs w:val="32"/>
        </w:rPr>
        <w:t>прогнозируются в размере 6,3 млрд. рублей. В прогнозе принята уточнённая кадастровая стоимость земельных участков и рекомендованные органам муниципальных образований ставки</w:t>
      </w:r>
      <w:r w:rsidRPr="00C02023">
        <w:rPr>
          <w:spacing w:val="-1"/>
          <w:sz w:val="32"/>
          <w:szCs w:val="32"/>
        </w:rPr>
        <w:t xml:space="preserve">. </w:t>
      </w:r>
    </w:p>
    <w:p w:rsidR="007843F4" w:rsidRDefault="00071C7F" w:rsidP="00071C7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 xml:space="preserve">Поступления </w:t>
      </w:r>
      <w:r w:rsidRPr="00C02023">
        <w:rPr>
          <w:b/>
          <w:bCs/>
          <w:sz w:val="32"/>
          <w:szCs w:val="32"/>
        </w:rPr>
        <w:t xml:space="preserve">транспортного налога </w:t>
      </w:r>
      <w:r w:rsidRPr="00C02023">
        <w:rPr>
          <w:sz w:val="32"/>
          <w:szCs w:val="32"/>
        </w:rPr>
        <w:t xml:space="preserve">в 2015 году оцениваются в размере 3 млрд. 550 млн. рублей. В соответствии с Бюджетным кодексом Республики Татарстан транспортный налог будет направлен в дорожный фонд в прогнозных объемах. </w:t>
      </w:r>
    </w:p>
    <w:p w:rsidR="00071C7F" w:rsidRPr="00C02023" w:rsidRDefault="00071C7F" w:rsidP="00071C7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pacing w:val="-1"/>
          <w:sz w:val="32"/>
          <w:szCs w:val="32"/>
        </w:rPr>
        <w:t xml:space="preserve">Поступление </w:t>
      </w:r>
      <w:r w:rsidRPr="00C02023">
        <w:rPr>
          <w:b/>
          <w:bCs/>
          <w:spacing w:val="-1"/>
          <w:sz w:val="32"/>
          <w:szCs w:val="32"/>
        </w:rPr>
        <w:t xml:space="preserve">по налогам на совокупный доход </w:t>
      </w:r>
      <w:r w:rsidRPr="00C02023">
        <w:rPr>
          <w:spacing w:val="-1"/>
          <w:sz w:val="32"/>
          <w:szCs w:val="32"/>
        </w:rPr>
        <w:t xml:space="preserve">в 2015 году </w:t>
      </w:r>
      <w:r w:rsidRPr="00C02023">
        <w:rPr>
          <w:sz w:val="32"/>
          <w:szCs w:val="32"/>
        </w:rPr>
        <w:t xml:space="preserve">прогнозируется в сумме 7,0 млрд. рублей. Прогноз сформирован исходя из отчетов налоговых органов и динамики фактических поступлений. </w:t>
      </w:r>
    </w:p>
    <w:p w:rsidR="00071C7F" w:rsidRPr="00C02023" w:rsidRDefault="00071C7F" w:rsidP="00071C7F">
      <w:pPr>
        <w:pStyle w:val="14"/>
        <w:ind w:firstLine="709"/>
        <w:rPr>
          <w:sz w:val="32"/>
          <w:szCs w:val="32"/>
        </w:rPr>
      </w:pPr>
      <w:r w:rsidRPr="00C02023">
        <w:rPr>
          <w:b/>
          <w:sz w:val="32"/>
          <w:szCs w:val="32"/>
        </w:rPr>
        <w:t>Неналоговые доходы</w:t>
      </w:r>
      <w:r w:rsidRPr="00C02023">
        <w:rPr>
          <w:sz w:val="32"/>
          <w:szCs w:val="32"/>
        </w:rPr>
        <w:t xml:space="preserve"> консолидированного бюджета прогнозируются на 2015 год в объеме 7,9 млрд.</w:t>
      </w:r>
      <w:r w:rsidR="0091795C" w:rsidRPr="00C02023">
        <w:rPr>
          <w:sz w:val="32"/>
          <w:szCs w:val="32"/>
        </w:rPr>
        <w:t xml:space="preserve"> </w:t>
      </w:r>
      <w:r w:rsidRPr="00C02023">
        <w:rPr>
          <w:sz w:val="32"/>
          <w:szCs w:val="32"/>
        </w:rPr>
        <w:t>рублей, бюджета Республики Татарстан – 3,1 млрд. рублей.</w:t>
      </w:r>
    </w:p>
    <w:p w:rsidR="00071C7F" w:rsidRPr="00C02023" w:rsidRDefault="00071C7F" w:rsidP="007843F4">
      <w:pPr>
        <w:pStyle w:val="14"/>
        <w:ind w:firstLine="709"/>
        <w:rPr>
          <w:sz w:val="32"/>
          <w:szCs w:val="32"/>
        </w:rPr>
      </w:pPr>
      <w:r w:rsidRPr="00C02023">
        <w:rPr>
          <w:sz w:val="32"/>
          <w:szCs w:val="32"/>
        </w:rPr>
        <w:t xml:space="preserve">В представленном  проекте бюджета учтены целевые </w:t>
      </w:r>
      <w:r w:rsidRPr="00C02023">
        <w:rPr>
          <w:b/>
          <w:sz w:val="32"/>
          <w:szCs w:val="32"/>
        </w:rPr>
        <w:t>межбюджетные трансферты из федерального бюджета</w:t>
      </w:r>
      <w:r w:rsidRPr="00C02023">
        <w:rPr>
          <w:sz w:val="32"/>
          <w:szCs w:val="32"/>
        </w:rPr>
        <w:t xml:space="preserve"> в сумме 13,9 млрд. рублей. Эта сумма будет уточняться в 2015 году по мере распределения федеральными министерствам</w:t>
      </w:r>
      <w:r w:rsidR="007843F4">
        <w:rPr>
          <w:sz w:val="32"/>
          <w:szCs w:val="32"/>
        </w:rPr>
        <w:t>и централизованных ассигнований.</w:t>
      </w:r>
      <w:r w:rsidRPr="00C02023">
        <w:rPr>
          <w:sz w:val="32"/>
          <w:szCs w:val="32"/>
        </w:rPr>
        <w:t xml:space="preserve"> </w:t>
      </w:r>
    </w:p>
    <w:p w:rsidR="00071C7F" w:rsidRPr="00C02023" w:rsidRDefault="00071C7F" w:rsidP="007843F4">
      <w:pPr>
        <w:pStyle w:val="14"/>
        <w:ind w:firstLine="720"/>
        <w:rPr>
          <w:sz w:val="32"/>
          <w:szCs w:val="32"/>
        </w:rPr>
      </w:pPr>
      <w:r w:rsidRPr="00C02023">
        <w:rPr>
          <w:sz w:val="32"/>
          <w:szCs w:val="32"/>
        </w:rPr>
        <w:t xml:space="preserve">Перехожу к характеристике </w:t>
      </w:r>
      <w:r w:rsidRPr="00C02023">
        <w:rPr>
          <w:b/>
          <w:sz w:val="32"/>
          <w:szCs w:val="32"/>
        </w:rPr>
        <w:t>расходной</w:t>
      </w:r>
      <w:r w:rsidRPr="00C02023">
        <w:rPr>
          <w:sz w:val="32"/>
          <w:szCs w:val="32"/>
        </w:rPr>
        <w:t xml:space="preserve"> части бюджета.</w:t>
      </w:r>
    </w:p>
    <w:p w:rsidR="00114E08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Говоря о подходах к формированию прогноза консолидированного бюджета Республики Татарстан </w:t>
      </w:r>
      <w:r w:rsidRPr="00C02023">
        <w:rPr>
          <w:rFonts w:eastAsia="Calibri"/>
          <w:sz w:val="32"/>
          <w:szCs w:val="32"/>
          <w:u w:val="single"/>
          <w:lang w:eastAsia="en-US"/>
        </w:rPr>
        <w:t xml:space="preserve">по расходам </w:t>
      </w:r>
      <w:r w:rsidRPr="00C02023">
        <w:rPr>
          <w:rFonts w:eastAsia="Calibri"/>
          <w:sz w:val="32"/>
          <w:szCs w:val="32"/>
          <w:lang w:eastAsia="en-US"/>
        </w:rPr>
        <w:t xml:space="preserve">отмечу, что в их структуре заложены федеральные </w:t>
      </w:r>
      <w:r w:rsidRPr="00C02023">
        <w:rPr>
          <w:rFonts w:eastAsia="Calibri"/>
          <w:sz w:val="32"/>
          <w:szCs w:val="32"/>
          <w:lang w:eastAsia="en-US"/>
        </w:rPr>
        <w:lastRenderedPageBreak/>
        <w:t xml:space="preserve">макроэкономические индексы – дефляторы.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Основные из них следующие: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i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- повышение заработной платы отдельных категорий работников бюджетной сферы в рамках реализации Указов Президента Российской Федерации от 7 мая 2012 года, предусмотренных в «дорожных картах».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- повышение заработной платы другим работникам бюджетной сферы и аппарата управления с 1 октября на 5,0 процентов;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- публичные обязательства, продукты питания и приобретение медикаментов индексируются в меру инфляции с 1 января на 5,0 процентов;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- стипендии предлагается повысить с 1 сентября на 5,0 процентов;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- коммунальные услуги будут проиндексированы с 1 июля на 6 процентов;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- остальные текущие расходы остаются на уровне 2014 года.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sz w:val="32"/>
          <w:szCs w:val="32"/>
        </w:rPr>
        <w:t>Отмечу отдельные тенденции, характеризующие расходы бюджета</w:t>
      </w:r>
      <w:r w:rsidR="00467D04">
        <w:rPr>
          <w:sz w:val="32"/>
          <w:szCs w:val="32"/>
        </w:rPr>
        <w:t xml:space="preserve"> социальной направленности</w:t>
      </w:r>
      <w:r w:rsidRPr="00C02023">
        <w:rPr>
          <w:sz w:val="32"/>
          <w:szCs w:val="32"/>
        </w:rPr>
        <w:t xml:space="preserve">. 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i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Объемы заработной платы растут опережающими темпами. Ее удельный вес к 2017 году составит почти половину доходов консолидированного бюджета</w:t>
      </w:r>
      <w:r w:rsidRPr="00C02023">
        <w:rPr>
          <w:rFonts w:eastAsia="Calibri"/>
          <w:i/>
          <w:sz w:val="32"/>
          <w:szCs w:val="32"/>
          <w:lang w:eastAsia="en-US"/>
        </w:rPr>
        <w:t>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Расходы на оплату труда консолидированного бюджета с начала 2012 года, то есть с начала реализации майских Указов Президента Российской Федерации, к 2017 году вырастут до 97,4 млрд. рублей.</w:t>
      </w:r>
    </w:p>
    <w:p w:rsidR="00071C7F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В расходной части бюджета ежегодно увеличиваются первоочередные и социально-значимые расходы. В плановом бюджете на 2014 год они составляли 63 %, к 2017 году – достигнут 80 %. В </w:t>
      </w:r>
      <w:r w:rsidRPr="00C02023">
        <w:rPr>
          <w:rFonts w:eastAsia="Calibri"/>
          <w:sz w:val="32"/>
          <w:szCs w:val="32"/>
          <w:lang w:eastAsia="en-US"/>
        </w:rPr>
        <w:lastRenderedPageBreak/>
        <w:t>результате снижаются возможности бюджета по осуществлению расходов инвестиционного и капитального характера</w:t>
      </w:r>
      <w:r w:rsidR="00F5779C">
        <w:rPr>
          <w:rFonts w:eastAsia="Calibri"/>
          <w:sz w:val="32"/>
          <w:szCs w:val="32"/>
          <w:lang w:eastAsia="en-US"/>
        </w:rPr>
        <w:t xml:space="preserve"> за счет собственных средств</w:t>
      </w:r>
      <w:r w:rsidRPr="00C02023">
        <w:rPr>
          <w:rFonts w:eastAsia="Calibri"/>
          <w:sz w:val="32"/>
          <w:szCs w:val="32"/>
          <w:lang w:eastAsia="en-US"/>
        </w:rPr>
        <w:t xml:space="preserve">.    </w:t>
      </w:r>
    </w:p>
    <w:p w:rsidR="00071C7F" w:rsidRPr="00F342A6" w:rsidRDefault="00071C7F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В 2015 году планируется продолжить финансирование республиканских социально значимых мероприятий, действующих на протяжении ряда лет, с общим объемом ассигнований в 6,2 млрд. рублей. </w:t>
      </w:r>
    </w:p>
    <w:p w:rsidR="00071C7F" w:rsidRPr="00F342A6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</w:p>
    <w:p w:rsidR="00071C7F" w:rsidRDefault="00C342D3" w:rsidP="00071C7F">
      <w:pPr>
        <w:spacing w:line="360" w:lineRule="auto"/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Большинство </w:t>
      </w:r>
      <w:r w:rsidR="001E25B8" w:rsidRPr="00F342A6">
        <w:rPr>
          <w:rFonts w:eastAsia="Calibri"/>
          <w:sz w:val="32"/>
          <w:szCs w:val="32"/>
        </w:rPr>
        <w:t xml:space="preserve"> республиканских целевых программ </w:t>
      </w:r>
      <w:r>
        <w:rPr>
          <w:rFonts w:eastAsia="Calibri"/>
          <w:sz w:val="32"/>
          <w:szCs w:val="32"/>
        </w:rPr>
        <w:t xml:space="preserve">направлены на решение </w:t>
      </w:r>
      <w:r w:rsidR="001E25B8" w:rsidRPr="00F342A6">
        <w:rPr>
          <w:rFonts w:eastAsia="Calibri"/>
          <w:sz w:val="32"/>
          <w:szCs w:val="32"/>
        </w:rPr>
        <w:t>перспективны</w:t>
      </w:r>
      <w:r>
        <w:rPr>
          <w:rFonts w:eastAsia="Calibri"/>
          <w:sz w:val="32"/>
          <w:szCs w:val="32"/>
        </w:rPr>
        <w:t>х</w:t>
      </w:r>
      <w:r w:rsidR="001E25B8" w:rsidRPr="00F342A6">
        <w:rPr>
          <w:rFonts w:eastAsia="Calibri"/>
          <w:sz w:val="32"/>
          <w:szCs w:val="32"/>
        </w:rPr>
        <w:t xml:space="preserve"> задач, поставленны</w:t>
      </w:r>
      <w:r>
        <w:rPr>
          <w:rFonts w:eastAsia="Calibri"/>
          <w:sz w:val="32"/>
          <w:szCs w:val="32"/>
        </w:rPr>
        <w:t>х</w:t>
      </w:r>
      <w:r w:rsidR="001E25B8" w:rsidRPr="00F342A6">
        <w:rPr>
          <w:rFonts w:eastAsia="Calibri"/>
          <w:sz w:val="32"/>
          <w:szCs w:val="32"/>
        </w:rPr>
        <w:t xml:space="preserve"> нашим Президентом. </w:t>
      </w:r>
    </w:p>
    <w:p w:rsidR="001E25B8" w:rsidRPr="00C02023" w:rsidRDefault="001E25B8" w:rsidP="00071C7F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071C7F" w:rsidRPr="00C02023" w:rsidRDefault="00071C7F" w:rsidP="00071C7F">
      <w:pPr>
        <w:pStyle w:val="2"/>
        <w:ind w:firstLine="709"/>
        <w:jc w:val="both"/>
        <w:rPr>
          <w:b/>
          <w:sz w:val="32"/>
          <w:szCs w:val="32"/>
        </w:rPr>
      </w:pPr>
      <w:r w:rsidRPr="00C02023">
        <w:rPr>
          <w:b/>
          <w:sz w:val="32"/>
          <w:szCs w:val="32"/>
        </w:rPr>
        <w:t>Далее, о характеристике расходов бюджета по конкретным направлениям.</w:t>
      </w:r>
    </w:p>
    <w:p w:rsidR="007843F4" w:rsidRPr="00C02023" w:rsidRDefault="00071C7F" w:rsidP="007843F4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 xml:space="preserve">Расходная часть бюджета в соответствии с бюджетной классификацией начинается с раздела </w:t>
      </w:r>
      <w:r w:rsidRPr="00C02023">
        <w:rPr>
          <w:b/>
          <w:spacing w:val="-2"/>
          <w:sz w:val="32"/>
          <w:szCs w:val="32"/>
        </w:rPr>
        <w:t>«Общегосударственные вопросы»</w:t>
      </w:r>
      <w:r w:rsidRPr="00C02023">
        <w:rPr>
          <w:spacing w:val="-2"/>
          <w:sz w:val="32"/>
          <w:szCs w:val="32"/>
        </w:rPr>
        <w:t xml:space="preserve">. </w:t>
      </w:r>
      <w:r w:rsidR="00081645">
        <w:rPr>
          <w:spacing w:val="-2"/>
          <w:sz w:val="32"/>
          <w:szCs w:val="32"/>
        </w:rPr>
        <w:t>О</w:t>
      </w:r>
      <w:r w:rsidRPr="00C02023">
        <w:rPr>
          <w:spacing w:val="-2"/>
          <w:sz w:val="32"/>
          <w:szCs w:val="32"/>
        </w:rPr>
        <w:t xml:space="preserve">бъем расходов по разделу на 2015 год прогнозируется в сумме </w:t>
      </w:r>
      <w:r w:rsidR="00081645">
        <w:rPr>
          <w:spacing w:val="-2"/>
          <w:sz w:val="32"/>
          <w:szCs w:val="32"/>
        </w:rPr>
        <w:t>25,5</w:t>
      </w:r>
      <w:r w:rsidRPr="00C02023">
        <w:rPr>
          <w:spacing w:val="-2"/>
          <w:sz w:val="32"/>
          <w:szCs w:val="32"/>
        </w:rPr>
        <w:t xml:space="preserve"> млрд. рублей, по </w:t>
      </w:r>
      <w:r w:rsidR="00081645">
        <w:rPr>
          <w:spacing w:val="-2"/>
          <w:sz w:val="32"/>
          <w:szCs w:val="32"/>
        </w:rPr>
        <w:t xml:space="preserve">консолидированному </w:t>
      </w:r>
      <w:r w:rsidRPr="00C02023">
        <w:rPr>
          <w:spacing w:val="-2"/>
          <w:sz w:val="32"/>
          <w:szCs w:val="32"/>
        </w:rPr>
        <w:t xml:space="preserve">бюджету республики – </w:t>
      </w:r>
      <w:r w:rsidR="00081645">
        <w:rPr>
          <w:spacing w:val="-2"/>
          <w:sz w:val="32"/>
          <w:szCs w:val="32"/>
        </w:rPr>
        <w:t>29,7</w:t>
      </w:r>
      <w:r w:rsidRPr="00C02023">
        <w:rPr>
          <w:spacing w:val="-2"/>
          <w:sz w:val="32"/>
          <w:szCs w:val="32"/>
        </w:rPr>
        <w:t xml:space="preserve"> млрд. рублей. В данный раздел входят расходы резервного фонда Правительства; содержание аппарата управления; Академии наук и Архивного управления, содержание мировых судей, программу кап</w:t>
      </w:r>
      <w:r w:rsidR="007843F4">
        <w:rPr>
          <w:spacing w:val="-2"/>
          <w:sz w:val="32"/>
          <w:szCs w:val="32"/>
        </w:rPr>
        <w:t xml:space="preserve">итального </w:t>
      </w:r>
      <w:r w:rsidRPr="00C02023">
        <w:rPr>
          <w:spacing w:val="-2"/>
          <w:sz w:val="32"/>
          <w:szCs w:val="32"/>
        </w:rPr>
        <w:t xml:space="preserve">строительства, </w:t>
      </w:r>
      <w:r w:rsidR="00081645" w:rsidRPr="00C02023">
        <w:rPr>
          <w:spacing w:val="-2"/>
          <w:sz w:val="32"/>
          <w:szCs w:val="32"/>
        </w:rPr>
        <w:t>софинансирование</w:t>
      </w:r>
      <w:r w:rsidR="007843F4">
        <w:rPr>
          <w:spacing w:val="-2"/>
          <w:sz w:val="32"/>
          <w:szCs w:val="32"/>
        </w:rPr>
        <w:t xml:space="preserve"> федеральных программ.</w:t>
      </w:r>
    </w:p>
    <w:p w:rsidR="00071C7F" w:rsidRPr="00C02023" w:rsidRDefault="00071C7F" w:rsidP="00071C7F">
      <w:pPr>
        <w:pStyle w:val="21"/>
        <w:ind w:firstLine="709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>Следующий раздел – «</w:t>
      </w:r>
      <w:r w:rsidRPr="00C02023">
        <w:rPr>
          <w:b/>
          <w:spacing w:val="-2"/>
          <w:sz w:val="32"/>
          <w:szCs w:val="32"/>
        </w:rPr>
        <w:t>Национальная безопасность и правоохранительная деятельность»</w:t>
      </w:r>
      <w:r w:rsidRPr="00C02023">
        <w:rPr>
          <w:spacing w:val="-2"/>
          <w:sz w:val="32"/>
          <w:szCs w:val="32"/>
        </w:rPr>
        <w:t xml:space="preserve"> с суммой расходов в 869 млн. рублей (по консолидированному бюджету – 969 млн. рублей). По этому разделу предусматривается содержание и мероприятия Министерства по делам гражданской обороны и чрезвычайным ситуациям, </w:t>
      </w:r>
      <w:r w:rsidRPr="00C02023">
        <w:rPr>
          <w:spacing w:val="-2"/>
          <w:sz w:val="32"/>
          <w:szCs w:val="32"/>
        </w:rPr>
        <w:lastRenderedPageBreak/>
        <w:t>функционирование единых диспетчерских служб муниципальных образований.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Раздел «</w:t>
      </w:r>
      <w:r w:rsidRPr="00C02023">
        <w:rPr>
          <w:b/>
          <w:sz w:val="32"/>
          <w:szCs w:val="32"/>
        </w:rPr>
        <w:t>Национальная экономика»</w:t>
      </w:r>
      <w:r w:rsidRPr="00C02023">
        <w:rPr>
          <w:sz w:val="32"/>
          <w:szCs w:val="32"/>
        </w:rPr>
        <w:t xml:space="preserve"> с суммой в 29,0 млрд. рублей (по консолидированному бюджету – 29,9 млрд. рублей) включает в себя отрасль сельского хозяйства с расходами в 7,5 млрд. рублей, транспорта – 2,8 млрд. рублей, дорожное хозяйство – 12,7 млрд. рублей, аппарат управления, отдельные учреждения и мероприятия, не отнесенные к конкретным отраслям </w:t>
      </w:r>
      <w:r w:rsidRPr="00C02023">
        <w:rPr>
          <w:i/>
          <w:sz w:val="32"/>
          <w:szCs w:val="32"/>
        </w:rPr>
        <w:t>(безопасность дорожного движения, поддержка малого предпринимательства и другие),</w:t>
      </w:r>
      <w:r w:rsidRPr="00C02023">
        <w:rPr>
          <w:sz w:val="32"/>
          <w:szCs w:val="32"/>
        </w:rPr>
        <w:t xml:space="preserve"> – 3,5 млрд.рублей, мероприятия по содействию занятости – 709 млн.рублей, связь и информатику – 1,1 млрд.рублей, лесное хозяйство – 668 млн. рублей, воспроизводство минерально-сырьевой базы – 50,0 млн.рублей.</w:t>
      </w:r>
    </w:p>
    <w:p w:rsidR="00071C7F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>В раздел «</w:t>
      </w:r>
      <w:r w:rsidRPr="00C02023">
        <w:rPr>
          <w:b/>
          <w:spacing w:val="-2"/>
          <w:sz w:val="32"/>
          <w:szCs w:val="32"/>
        </w:rPr>
        <w:t>Жилищно-коммунальное хозяйство»</w:t>
      </w:r>
      <w:r w:rsidRPr="00C02023">
        <w:rPr>
          <w:spacing w:val="-2"/>
          <w:sz w:val="32"/>
          <w:szCs w:val="32"/>
        </w:rPr>
        <w:t xml:space="preserve"> входят расходы в сумме </w:t>
      </w:r>
      <w:r w:rsidR="00081645">
        <w:rPr>
          <w:spacing w:val="-2"/>
          <w:sz w:val="32"/>
          <w:szCs w:val="32"/>
        </w:rPr>
        <w:t>4,3</w:t>
      </w:r>
      <w:r w:rsidRPr="00C02023">
        <w:rPr>
          <w:spacing w:val="-2"/>
          <w:sz w:val="32"/>
          <w:szCs w:val="32"/>
        </w:rPr>
        <w:t xml:space="preserve"> млрд. рублей (</w:t>
      </w:r>
      <w:r w:rsidR="00081645">
        <w:rPr>
          <w:spacing w:val="-2"/>
          <w:sz w:val="32"/>
          <w:szCs w:val="32"/>
        </w:rPr>
        <w:t>консолидированный бюджет</w:t>
      </w:r>
      <w:r w:rsidRPr="00C02023">
        <w:rPr>
          <w:spacing w:val="-2"/>
          <w:sz w:val="32"/>
          <w:szCs w:val="32"/>
        </w:rPr>
        <w:t xml:space="preserve"> – </w:t>
      </w:r>
      <w:r w:rsidR="00081645">
        <w:rPr>
          <w:spacing w:val="-2"/>
          <w:sz w:val="32"/>
          <w:szCs w:val="32"/>
        </w:rPr>
        <w:t>9,2</w:t>
      </w:r>
      <w:r w:rsidRPr="00C02023">
        <w:rPr>
          <w:spacing w:val="-2"/>
          <w:sz w:val="32"/>
          <w:szCs w:val="32"/>
        </w:rPr>
        <w:t xml:space="preserve"> млрд. рублей) по финансированию объектов ЖКХ, приемке и вводу жилья и объектов социальной сферы, ликвидации недоремонта жилого фонда, создание аварийно-технического запаса.</w:t>
      </w:r>
    </w:p>
    <w:p w:rsidR="007843F4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>В разделе «</w:t>
      </w:r>
      <w:r w:rsidRPr="00C02023">
        <w:rPr>
          <w:b/>
          <w:spacing w:val="-2"/>
          <w:sz w:val="32"/>
          <w:szCs w:val="32"/>
        </w:rPr>
        <w:t>Охрана окружающей среды»</w:t>
      </w:r>
      <w:r w:rsidRPr="00C02023">
        <w:rPr>
          <w:spacing w:val="-2"/>
          <w:sz w:val="32"/>
          <w:szCs w:val="32"/>
        </w:rPr>
        <w:t xml:space="preserve"> предусматриваются расходы на содержание аппарата Министерства экологии и природных ресурсов Республики Татарстан, подведомственных учреждений, реализация природоохранных мероприятий на общую сумму 378 млн. рублей.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02023">
        <w:rPr>
          <w:sz w:val="32"/>
          <w:szCs w:val="32"/>
        </w:rPr>
        <w:t>Далее следуе</w:t>
      </w:r>
      <w:r w:rsidRPr="00C02023">
        <w:rPr>
          <w:b/>
          <w:sz w:val="32"/>
          <w:szCs w:val="32"/>
        </w:rPr>
        <w:t xml:space="preserve">т наиболее крупный раздел расходов бюджета – </w:t>
      </w:r>
      <w:r w:rsidRPr="00C02023">
        <w:rPr>
          <w:sz w:val="32"/>
          <w:szCs w:val="32"/>
        </w:rPr>
        <w:t>«</w:t>
      </w:r>
      <w:r w:rsidRPr="00C02023">
        <w:rPr>
          <w:b/>
          <w:sz w:val="32"/>
          <w:szCs w:val="32"/>
        </w:rPr>
        <w:t xml:space="preserve">Социально-культурная сфера». 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rFonts w:eastAsia="Calibri"/>
          <w:sz w:val="32"/>
          <w:szCs w:val="32"/>
          <w:lang w:eastAsia="en-US"/>
        </w:rPr>
        <w:t xml:space="preserve">Параметры расходов на социальную сферу свидетельствуют о </w:t>
      </w:r>
      <w:r w:rsidRPr="00C02023">
        <w:rPr>
          <w:rFonts w:eastAsia="Calibri"/>
          <w:sz w:val="32"/>
          <w:szCs w:val="32"/>
          <w:lang w:eastAsia="en-US"/>
        </w:rPr>
        <w:lastRenderedPageBreak/>
        <w:t xml:space="preserve">динамике ежегодного роста. </w:t>
      </w:r>
      <w:r w:rsidRPr="00C02023">
        <w:rPr>
          <w:sz w:val="32"/>
          <w:szCs w:val="32"/>
        </w:rPr>
        <w:t>Расходы социальной сферы в консолидированном бюджете занимают в 2015 году 68%, в 2017 году вырастут до 72%</w:t>
      </w:r>
      <w:r w:rsidR="007843F4">
        <w:rPr>
          <w:sz w:val="32"/>
          <w:szCs w:val="32"/>
        </w:rPr>
        <w:t>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В социально-культурной сфере наибольш</w:t>
      </w:r>
      <w:r w:rsidR="00081645">
        <w:rPr>
          <w:sz w:val="32"/>
          <w:szCs w:val="32"/>
        </w:rPr>
        <w:t>ий</w:t>
      </w:r>
      <w:r w:rsidRPr="00C02023">
        <w:rPr>
          <w:sz w:val="32"/>
          <w:szCs w:val="32"/>
        </w:rPr>
        <w:t xml:space="preserve"> по объему расходов </w:t>
      </w:r>
      <w:r w:rsidR="00081645">
        <w:rPr>
          <w:sz w:val="32"/>
          <w:szCs w:val="32"/>
        </w:rPr>
        <w:t>раздел</w:t>
      </w:r>
      <w:r w:rsidRPr="00C02023">
        <w:rPr>
          <w:sz w:val="32"/>
          <w:szCs w:val="32"/>
        </w:rPr>
        <w:t xml:space="preserve"> «</w:t>
      </w:r>
      <w:r w:rsidRPr="00C02023">
        <w:rPr>
          <w:b/>
          <w:sz w:val="32"/>
          <w:szCs w:val="32"/>
        </w:rPr>
        <w:t>Образование»</w:t>
      </w:r>
      <w:r w:rsidR="003E23B1" w:rsidRPr="00C02023">
        <w:rPr>
          <w:b/>
          <w:sz w:val="32"/>
          <w:szCs w:val="32"/>
        </w:rPr>
        <w:t xml:space="preserve"> </w:t>
      </w:r>
      <w:r w:rsidR="003E23B1" w:rsidRPr="00C02023">
        <w:rPr>
          <w:sz w:val="32"/>
          <w:szCs w:val="32"/>
        </w:rPr>
        <w:t>– 31,3 млрд. рублей (по консолидированному бюджету – 58,1 млрд. рублей)</w:t>
      </w:r>
      <w:r w:rsidRPr="00C02023">
        <w:rPr>
          <w:sz w:val="32"/>
          <w:szCs w:val="32"/>
        </w:rPr>
        <w:t>. Необходимо отметить, что данной отрасли в республике уделяется значительное внимание</w:t>
      </w:r>
      <w:r w:rsidR="00081645">
        <w:rPr>
          <w:sz w:val="32"/>
          <w:szCs w:val="32"/>
        </w:rPr>
        <w:t xml:space="preserve"> </w:t>
      </w:r>
      <w:r w:rsidR="00081645" w:rsidRPr="00710A28">
        <w:rPr>
          <w:sz w:val="32"/>
          <w:szCs w:val="32"/>
        </w:rPr>
        <w:t>–</w:t>
      </w:r>
      <w:r w:rsidRPr="00710A28">
        <w:rPr>
          <w:sz w:val="32"/>
          <w:szCs w:val="32"/>
        </w:rPr>
        <w:t xml:space="preserve"> к 2017 году объем </w:t>
      </w:r>
      <w:r w:rsidR="00081645" w:rsidRPr="00710A28">
        <w:rPr>
          <w:sz w:val="32"/>
          <w:szCs w:val="32"/>
        </w:rPr>
        <w:t xml:space="preserve">расходов </w:t>
      </w:r>
      <w:r w:rsidRPr="00710A28">
        <w:rPr>
          <w:sz w:val="32"/>
          <w:szCs w:val="32"/>
        </w:rPr>
        <w:t>возраст</w:t>
      </w:r>
      <w:r w:rsidR="00081645" w:rsidRPr="00710A28">
        <w:rPr>
          <w:sz w:val="32"/>
          <w:szCs w:val="32"/>
        </w:rPr>
        <w:t>ё</w:t>
      </w:r>
      <w:r w:rsidRPr="00710A28">
        <w:rPr>
          <w:sz w:val="32"/>
          <w:szCs w:val="32"/>
        </w:rPr>
        <w:t>т до 76,9 млрд. рублей</w:t>
      </w:r>
      <w:r w:rsidR="00710A28" w:rsidRPr="00710A28">
        <w:rPr>
          <w:sz w:val="32"/>
          <w:szCs w:val="32"/>
        </w:rPr>
        <w:t xml:space="preserve"> с учетом дополнительных средств на заработную плату и капитальные вложения</w:t>
      </w:r>
      <w:r w:rsidRPr="00710A28">
        <w:rPr>
          <w:sz w:val="32"/>
          <w:szCs w:val="32"/>
        </w:rPr>
        <w:t>.</w:t>
      </w:r>
    </w:p>
    <w:p w:rsidR="00071C7F" w:rsidRPr="00C41309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За счет названных средств в 2015 году будет профинансирована повышенная заработная плата, республиканск</w:t>
      </w:r>
      <w:r w:rsidR="00C342D3">
        <w:rPr>
          <w:sz w:val="32"/>
          <w:szCs w:val="32"/>
        </w:rPr>
        <w:t>ая</w:t>
      </w:r>
      <w:r w:rsidRPr="00C02023">
        <w:rPr>
          <w:sz w:val="32"/>
          <w:szCs w:val="32"/>
        </w:rPr>
        <w:t xml:space="preserve"> целев</w:t>
      </w:r>
      <w:r w:rsidR="00C342D3">
        <w:rPr>
          <w:sz w:val="32"/>
          <w:szCs w:val="32"/>
        </w:rPr>
        <w:t>ая</w:t>
      </w:r>
      <w:r w:rsidRPr="00C02023">
        <w:rPr>
          <w:sz w:val="32"/>
          <w:szCs w:val="32"/>
        </w:rPr>
        <w:t xml:space="preserve"> программ</w:t>
      </w:r>
      <w:r w:rsidR="00C342D3">
        <w:rPr>
          <w:sz w:val="32"/>
          <w:szCs w:val="32"/>
        </w:rPr>
        <w:t>а</w:t>
      </w:r>
      <w:r w:rsidRPr="00C02023">
        <w:rPr>
          <w:sz w:val="32"/>
          <w:szCs w:val="32"/>
        </w:rPr>
        <w:t xml:space="preserve"> «Килэчэк», в мероприятия которо</w:t>
      </w:r>
      <w:r w:rsidR="00C342D3">
        <w:rPr>
          <w:sz w:val="32"/>
          <w:szCs w:val="32"/>
        </w:rPr>
        <w:t>й</w:t>
      </w:r>
      <w:r w:rsidRPr="00C02023">
        <w:rPr>
          <w:sz w:val="32"/>
          <w:szCs w:val="32"/>
        </w:rPr>
        <w:t xml:space="preserve">  включены расходы на оснащение муниципальных образовательных учреждений</w:t>
      </w:r>
      <w:r w:rsidR="00C342D3">
        <w:rPr>
          <w:sz w:val="32"/>
          <w:szCs w:val="32"/>
        </w:rPr>
        <w:t xml:space="preserve"> новейшим</w:t>
      </w:r>
      <w:r w:rsidRPr="00C02023">
        <w:rPr>
          <w:sz w:val="32"/>
          <w:szCs w:val="32"/>
        </w:rPr>
        <w:t xml:space="preserve"> противопожарным оборудованием</w:t>
      </w:r>
      <w:r w:rsidR="00C342D3">
        <w:rPr>
          <w:sz w:val="32"/>
          <w:szCs w:val="32"/>
        </w:rPr>
        <w:t>;</w:t>
      </w:r>
      <w:r w:rsidRPr="00C02023">
        <w:rPr>
          <w:sz w:val="32"/>
          <w:szCs w:val="32"/>
        </w:rPr>
        <w:t xml:space="preserve"> </w:t>
      </w:r>
      <w:r w:rsidR="00C342D3">
        <w:rPr>
          <w:sz w:val="32"/>
          <w:szCs w:val="32"/>
        </w:rPr>
        <w:t xml:space="preserve">программа </w:t>
      </w:r>
      <w:r w:rsidRPr="00C41309">
        <w:rPr>
          <w:sz w:val="32"/>
          <w:szCs w:val="32"/>
        </w:rPr>
        <w:t>сохранени</w:t>
      </w:r>
      <w:r w:rsidR="00C342D3">
        <w:rPr>
          <w:sz w:val="32"/>
          <w:szCs w:val="32"/>
        </w:rPr>
        <w:t>я</w:t>
      </w:r>
      <w:r w:rsidRPr="00C41309">
        <w:rPr>
          <w:sz w:val="32"/>
          <w:szCs w:val="32"/>
        </w:rPr>
        <w:t xml:space="preserve"> и развити</w:t>
      </w:r>
      <w:r w:rsidR="00C342D3">
        <w:rPr>
          <w:sz w:val="32"/>
          <w:szCs w:val="32"/>
        </w:rPr>
        <w:t>я</w:t>
      </w:r>
      <w:r w:rsidRPr="00C41309">
        <w:rPr>
          <w:sz w:val="32"/>
          <w:szCs w:val="32"/>
        </w:rPr>
        <w:t xml:space="preserve"> языков, организация отдыха детей и молодежи, а так ж</w:t>
      </w:r>
      <w:r w:rsidR="007843F4">
        <w:rPr>
          <w:sz w:val="32"/>
          <w:szCs w:val="32"/>
        </w:rPr>
        <w:t>е текущие расходы и мероприятия</w:t>
      </w:r>
      <w:r w:rsidRPr="00C41309">
        <w:rPr>
          <w:sz w:val="32"/>
          <w:szCs w:val="32"/>
        </w:rPr>
        <w:t>.</w:t>
      </w:r>
    </w:p>
    <w:p w:rsidR="00071C7F" w:rsidRPr="00C41309" w:rsidRDefault="00071C7F" w:rsidP="00081645">
      <w:pPr>
        <w:spacing w:line="360" w:lineRule="auto"/>
        <w:ind w:firstLine="709"/>
        <w:jc w:val="both"/>
        <w:rPr>
          <w:sz w:val="32"/>
          <w:szCs w:val="32"/>
        </w:rPr>
      </w:pPr>
      <w:r w:rsidRPr="00C41309">
        <w:rPr>
          <w:sz w:val="32"/>
          <w:szCs w:val="32"/>
        </w:rPr>
        <w:t>Одновременно, в 2015 году планируется продолжить реализацию программы капитального ремонта школ с объемом, аналогичным текущему году, в сумме 2,5 млрд.рублей.</w:t>
      </w:r>
      <w:r w:rsidR="00081645" w:rsidRPr="00C41309">
        <w:rPr>
          <w:sz w:val="32"/>
          <w:szCs w:val="32"/>
        </w:rPr>
        <w:t xml:space="preserve"> Н</w:t>
      </w:r>
      <w:r w:rsidRPr="00C41309">
        <w:rPr>
          <w:sz w:val="32"/>
          <w:szCs w:val="32"/>
        </w:rPr>
        <w:t xml:space="preserve">а создание дополнительных мест в детских дошкольных учреждениях предполагается выделение 3,1 млрд. рублей, расходы на содержание вновь введенных в 2013 – 2015 годах мест составят порядка 1,6 млрд. рублей. </w:t>
      </w:r>
    </w:p>
    <w:p w:rsidR="00081645" w:rsidRPr="00C41309" w:rsidRDefault="00081645" w:rsidP="00081645">
      <w:pPr>
        <w:spacing w:line="360" w:lineRule="auto"/>
        <w:ind w:firstLine="709"/>
        <w:jc w:val="both"/>
        <w:rPr>
          <w:sz w:val="32"/>
          <w:szCs w:val="32"/>
        </w:rPr>
      </w:pPr>
      <w:r w:rsidRPr="00C41309">
        <w:rPr>
          <w:sz w:val="32"/>
          <w:szCs w:val="32"/>
        </w:rPr>
        <w:t xml:space="preserve">В рамках реализации задач, поставленных Президентом Республики Татарстан, планируется уделить </w:t>
      </w:r>
      <w:r w:rsidR="004B05BC">
        <w:rPr>
          <w:sz w:val="32"/>
          <w:szCs w:val="32"/>
        </w:rPr>
        <w:t xml:space="preserve">серьезное </w:t>
      </w:r>
      <w:r w:rsidRPr="00C41309">
        <w:rPr>
          <w:sz w:val="32"/>
          <w:szCs w:val="32"/>
        </w:rPr>
        <w:t xml:space="preserve">внимание обеспечению соответствия качества дошкольной подготовки </w:t>
      </w:r>
      <w:r w:rsidRPr="00C41309">
        <w:rPr>
          <w:sz w:val="32"/>
          <w:szCs w:val="32"/>
        </w:rPr>
        <w:lastRenderedPageBreak/>
        <w:t>инновационным задачам школьного образования, усилению методической работы на всех уровнях управления образованием; сохранению сети общеобразовательных организаций с родным языком обучения, внедрение современных технологий в повышение уровня квалификаций учителей; переводу на системный уровень работы по профориентации и предоставлению учащимся возможности ранних «профессиональных проб»; поддержке динамического развития наших ведущих вузов.</w:t>
      </w:r>
    </w:p>
    <w:p w:rsidR="00071C7F" w:rsidRPr="00C41309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41309">
        <w:rPr>
          <w:spacing w:val="-2"/>
          <w:sz w:val="32"/>
          <w:szCs w:val="32"/>
        </w:rPr>
        <w:t>Далее следует раздел социальной сферы – «</w:t>
      </w:r>
      <w:r w:rsidRPr="00C41309">
        <w:rPr>
          <w:b/>
          <w:spacing w:val="-2"/>
          <w:sz w:val="32"/>
          <w:szCs w:val="32"/>
        </w:rPr>
        <w:t xml:space="preserve">Культура и кинематография» </w:t>
      </w:r>
      <w:r w:rsidRPr="00C41309">
        <w:rPr>
          <w:spacing w:val="-2"/>
          <w:sz w:val="32"/>
          <w:szCs w:val="32"/>
        </w:rPr>
        <w:t xml:space="preserve">в объеме на 2015 год </w:t>
      </w:r>
      <w:r w:rsidR="003E23B1" w:rsidRPr="00C41309">
        <w:rPr>
          <w:sz w:val="32"/>
          <w:szCs w:val="32"/>
        </w:rPr>
        <w:t>3,3 млрд. рублей (по консолидированному бюджету –</w:t>
      </w:r>
      <w:r w:rsidR="001A18BE" w:rsidRPr="00C41309">
        <w:rPr>
          <w:sz w:val="32"/>
          <w:szCs w:val="32"/>
        </w:rPr>
        <w:t xml:space="preserve"> </w:t>
      </w:r>
      <w:r w:rsidRPr="00C41309">
        <w:rPr>
          <w:spacing w:val="-2"/>
          <w:sz w:val="32"/>
          <w:szCs w:val="32"/>
        </w:rPr>
        <w:t>7,1 млрд.</w:t>
      </w:r>
      <w:r w:rsidR="001A18BE" w:rsidRPr="00C41309">
        <w:rPr>
          <w:spacing w:val="-2"/>
          <w:sz w:val="32"/>
          <w:szCs w:val="32"/>
        </w:rPr>
        <w:t xml:space="preserve"> </w:t>
      </w:r>
      <w:r w:rsidRPr="00C41309">
        <w:rPr>
          <w:spacing w:val="-2"/>
          <w:sz w:val="32"/>
          <w:szCs w:val="32"/>
        </w:rPr>
        <w:t>рублей</w:t>
      </w:r>
      <w:r w:rsidR="00F5779C">
        <w:rPr>
          <w:spacing w:val="-2"/>
          <w:sz w:val="32"/>
          <w:szCs w:val="32"/>
        </w:rPr>
        <w:t>)</w:t>
      </w:r>
      <w:r w:rsidRPr="00C41309">
        <w:rPr>
          <w:spacing w:val="-2"/>
          <w:sz w:val="32"/>
          <w:szCs w:val="32"/>
        </w:rPr>
        <w:t>. Средства планируется направить на предоставление грантов, комплектование книжных фондов, поддержку творческих союзов, содержание музеев, театров, цирка, библиотек, творческих коллективов. Будет продолжена реализация мероприятий по капитальному ремонту и строительству сельских клубов.</w:t>
      </w:r>
    </w:p>
    <w:p w:rsidR="00081645" w:rsidRPr="00C41309" w:rsidRDefault="00081645" w:rsidP="00081645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41309">
        <w:rPr>
          <w:spacing w:val="-2"/>
          <w:sz w:val="32"/>
          <w:szCs w:val="32"/>
        </w:rPr>
        <w:t>В рамках решения задач, поставленных Президентом Республики Татарстан</w:t>
      </w:r>
      <w:r w:rsidR="00F5779C">
        <w:rPr>
          <w:spacing w:val="-2"/>
          <w:sz w:val="32"/>
          <w:szCs w:val="32"/>
        </w:rPr>
        <w:t>,</w:t>
      </w:r>
      <w:r w:rsidRPr="00C41309">
        <w:rPr>
          <w:spacing w:val="-2"/>
          <w:sz w:val="32"/>
          <w:szCs w:val="32"/>
        </w:rPr>
        <w:t xml:space="preserve"> по  разделу «Культура, кинематография» планируется реализация мероприятий по проведению всенародного праздника – 70-летия Победы советского народа в Великой Отечественной войне; поддержке проектов, направленных на развитие детской литературы и международных контактов в сфере литературы и искусства.</w:t>
      </w:r>
    </w:p>
    <w:p w:rsidR="00081645" w:rsidRPr="00C41309" w:rsidRDefault="00081645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</w:p>
    <w:p w:rsidR="001A18BE" w:rsidRPr="00C41309" w:rsidRDefault="001A18BE" w:rsidP="001A18BE">
      <w:pPr>
        <w:spacing w:line="360" w:lineRule="auto"/>
        <w:ind w:firstLine="709"/>
        <w:jc w:val="both"/>
        <w:rPr>
          <w:rFonts w:eastAsia="Calibri"/>
          <w:spacing w:val="-2"/>
          <w:sz w:val="32"/>
          <w:szCs w:val="32"/>
          <w:lang w:eastAsia="en-US"/>
        </w:rPr>
      </w:pPr>
      <w:r w:rsidRPr="00C41309">
        <w:rPr>
          <w:rFonts w:eastAsia="Calibri"/>
          <w:spacing w:val="-2"/>
          <w:sz w:val="32"/>
          <w:szCs w:val="32"/>
          <w:lang w:eastAsia="en-US"/>
        </w:rPr>
        <w:t xml:space="preserve">По разделу </w:t>
      </w:r>
      <w:r w:rsidRPr="00C41309">
        <w:rPr>
          <w:b/>
          <w:spacing w:val="-2"/>
          <w:sz w:val="32"/>
          <w:szCs w:val="32"/>
        </w:rPr>
        <w:t xml:space="preserve">«Здравоохранение» </w:t>
      </w:r>
      <w:r w:rsidRPr="00C41309">
        <w:rPr>
          <w:spacing w:val="-2"/>
          <w:sz w:val="32"/>
          <w:szCs w:val="32"/>
        </w:rPr>
        <w:t>в</w:t>
      </w:r>
      <w:r w:rsidRPr="00C41309">
        <w:rPr>
          <w:rFonts w:eastAsia="Calibri"/>
          <w:spacing w:val="-2"/>
          <w:sz w:val="32"/>
          <w:szCs w:val="32"/>
          <w:lang w:eastAsia="en-US"/>
        </w:rPr>
        <w:t xml:space="preserve"> проекте бюджета Республики Татарстан на 2015 год расходы предусмотрены в сумме </w:t>
      </w:r>
      <w:r w:rsidRPr="00C41309">
        <w:rPr>
          <w:sz w:val="32"/>
          <w:szCs w:val="32"/>
        </w:rPr>
        <w:t xml:space="preserve">23,7 </w:t>
      </w:r>
      <w:r w:rsidRPr="00C41309">
        <w:rPr>
          <w:rFonts w:eastAsia="Calibri"/>
          <w:spacing w:val="-2"/>
          <w:sz w:val="32"/>
          <w:szCs w:val="32"/>
          <w:lang w:eastAsia="en-US"/>
        </w:rPr>
        <w:t xml:space="preserve">млрд. рублей. </w:t>
      </w:r>
    </w:p>
    <w:p w:rsidR="00081645" w:rsidRPr="00C41309" w:rsidRDefault="00071C7F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41309">
        <w:rPr>
          <w:sz w:val="32"/>
          <w:szCs w:val="32"/>
        </w:rPr>
        <w:lastRenderedPageBreak/>
        <w:t>В бюджете республики расходы на здравоохранение включают в себя оказание высокотехнологичной помощи, проведение процедур гемодиализа, содержание учреждений, централизованные закупки медикаментов и оборудования, платежи на обязательное медицинское страхование неработающего населения.</w:t>
      </w:r>
      <w:r w:rsidRPr="00C41309">
        <w:rPr>
          <w:color w:val="0070C0"/>
          <w:sz w:val="32"/>
          <w:szCs w:val="32"/>
        </w:rPr>
        <w:t xml:space="preserve"> </w:t>
      </w:r>
    </w:p>
    <w:p w:rsidR="00081645" w:rsidRPr="00C41309" w:rsidRDefault="001E25B8" w:rsidP="00071C7F">
      <w:pPr>
        <w:spacing w:line="360" w:lineRule="auto"/>
        <w:ind w:firstLine="709"/>
        <w:jc w:val="both"/>
        <w:rPr>
          <w:sz w:val="32"/>
          <w:szCs w:val="32"/>
        </w:rPr>
      </w:pPr>
      <w:r w:rsidRPr="00C41309">
        <w:rPr>
          <w:sz w:val="32"/>
          <w:szCs w:val="32"/>
        </w:rPr>
        <w:t>В рамках реализации задач, поставленных Президентом Республики Татарстан, средства из бюджета Республики Татарстан буд</w:t>
      </w:r>
      <w:r w:rsidR="00C41309" w:rsidRPr="00C41309">
        <w:rPr>
          <w:sz w:val="32"/>
          <w:szCs w:val="32"/>
        </w:rPr>
        <w:t>у</w:t>
      </w:r>
      <w:r w:rsidRPr="00C41309">
        <w:rPr>
          <w:sz w:val="32"/>
          <w:szCs w:val="32"/>
        </w:rPr>
        <w:t>т направляться на повышение доступности специализированных видов медицинской помощи для граждан, ра</w:t>
      </w:r>
      <w:r w:rsidR="00C41309" w:rsidRPr="00C41309">
        <w:rPr>
          <w:sz w:val="32"/>
          <w:szCs w:val="32"/>
        </w:rPr>
        <w:t>н</w:t>
      </w:r>
      <w:r w:rsidRPr="00C41309">
        <w:rPr>
          <w:sz w:val="32"/>
          <w:szCs w:val="32"/>
        </w:rPr>
        <w:t>нее выявление заболеваний, развитие первичного звена, внедрение новых технологий, широкое использование ресурса диспансеризации. Также будут проводиться мероприятия по привлечению кадров в сельскую местность, целевой подготовке специалистов и привлечению врачей в государственные учреждения здравоохранения.</w:t>
      </w:r>
    </w:p>
    <w:p w:rsidR="00071C7F" w:rsidRPr="00C41309" w:rsidRDefault="000D068C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41309">
        <w:rPr>
          <w:sz w:val="32"/>
          <w:szCs w:val="32"/>
        </w:rPr>
        <w:t xml:space="preserve">Следующий раздел социальной сферы </w:t>
      </w:r>
      <w:r w:rsidR="00071C7F" w:rsidRPr="00C41309">
        <w:rPr>
          <w:spacing w:val="-2"/>
          <w:sz w:val="32"/>
          <w:szCs w:val="32"/>
        </w:rPr>
        <w:t xml:space="preserve">– </w:t>
      </w:r>
      <w:r w:rsidR="00071C7F" w:rsidRPr="00C41309">
        <w:rPr>
          <w:b/>
          <w:spacing w:val="-2"/>
          <w:sz w:val="32"/>
          <w:szCs w:val="32"/>
        </w:rPr>
        <w:t>«Социальная политика»</w:t>
      </w:r>
      <w:r w:rsidR="00071C7F" w:rsidRPr="00C41309">
        <w:rPr>
          <w:spacing w:val="-2"/>
          <w:sz w:val="32"/>
          <w:szCs w:val="32"/>
        </w:rPr>
        <w:t>. Общая сумма расходов здесь прогнозируется в размере 23,7 млрд. рублей (по консолидированному бюджету – 24,1 мл</w:t>
      </w:r>
      <w:r w:rsidR="001E25B8" w:rsidRPr="00C41309">
        <w:rPr>
          <w:spacing w:val="-2"/>
          <w:sz w:val="32"/>
          <w:szCs w:val="32"/>
        </w:rPr>
        <w:t>рд</w:t>
      </w:r>
      <w:r w:rsidR="00071C7F" w:rsidRPr="00C41309">
        <w:rPr>
          <w:spacing w:val="-2"/>
          <w:sz w:val="32"/>
          <w:szCs w:val="32"/>
        </w:rPr>
        <w:t xml:space="preserve">.рублей), из них на социальную поддержку населения – 19,5 млрд. рублей. </w:t>
      </w:r>
    </w:p>
    <w:p w:rsidR="00071C7F" w:rsidRPr="00C41309" w:rsidRDefault="00071C7F" w:rsidP="00071C7F">
      <w:pPr>
        <w:pStyle w:val="14"/>
        <w:ind w:firstLine="709"/>
        <w:rPr>
          <w:sz w:val="32"/>
          <w:szCs w:val="32"/>
        </w:rPr>
      </w:pPr>
      <w:r w:rsidRPr="00C41309">
        <w:rPr>
          <w:sz w:val="32"/>
          <w:szCs w:val="32"/>
        </w:rPr>
        <w:t xml:space="preserve">В данных объемах предусмотрены, индексированные в меру инфляции, все социальные пособия и выплаты, выплачиваемые в текущем году. </w:t>
      </w:r>
    </w:p>
    <w:p w:rsidR="001E25B8" w:rsidRPr="00C41309" w:rsidRDefault="001E25B8" w:rsidP="00071C7F">
      <w:pPr>
        <w:pStyle w:val="14"/>
        <w:ind w:firstLine="709"/>
        <w:rPr>
          <w:sz w:val="32"/>
          <w:szCs w:val="32"/>
        </w:rPr>
      </w:pPr>
    </w:p>
    <w:p w:rsidR="00071C7F" w:rsidRPr="00C41309" w:rsidRDefault="00071C7F" w:rsidP="00071C7F">
      <w:pPr>
        <w:tabs>
          <w:tab w:val="left" w:pos="4551"/>
        </w:tabs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41309">
        <w:rPr>
          <w:spacing w:val="-2"/>
          <w:sz w:val="32"/>
          <w:szCs w:val="32"/>
        </w:rPr>
        <w:t>Расходы по разделу</w:t>
      </w:r>
      <w:r w:rsidRPr="00C41309">
        <w:rPr>
          <w:b/>
          <w:spacing w:val="-2"/>
          <w:sz w:val="32"/>
          <w:szCs w:val="32"/>
        </w:rPr>
        <w:t xml:space="preserve"> «Физическая культура и спорт» </w:t>
      </w:r>
      <w:r w:rsidRPr="00C41309">
        <w:rPr>
          <w:spacing w:val="-2"/>
          <w:sz w:val="32"/>
          <w:szCs w:val="32"/>
        </w:rPr>
        <w:t xml:space="preserve">составляют </w:t>
      </w:r>
      <w:r w:rsidR="001E25B8" w:rsidRPr="00C41309">
        <w:rPr>
          <w:spacing w:val="-2"/>
          <w:sz w:val="32"/>
          <w:szCs w:val="32"/>
        </w:rPr>
        <w:t>571 млн.рублей</w:t>
      </w:r>
      <w:r w:rsidRPr="00C41309">
        <w:rPr>
          <w:spacing w:val="-2"/>
          <w:sz w:val="32"/>
          <w:szCs w:val="32"/>
        </w:rPr>
        <w:t xml:space="preserve">, по </w:t>
      </w:r>
      <w:r w:rsidR="001E25B8" w:rsidRPr="00C41309">
        <w:rPr>
          <w:spacing w:val="-2"/>
          <w:sz w:val="32"/>
          <w:szCs w:val="32"/>
        </w:rPr>
        <w:t xml:space="preserve">консолидированному </w:t>
      </w:r>
      <w:r w:rsidRPr="00C41309">
        <w:rPr>
          <w:spacing w:val="-2"/>
          <w:sz w:val="32"/>
          <w:szCs w:val="32"/>
        </w:rPr>
        <w:t>бюджету республики –</w:t>
      </w:r>
      <w:r w:rsidR="001E25B8" w:rsidRPr="00C41309">
        <w:rPr>
          <w:spacing w:val="-2"/>
          <w:sz w:val="32"/>
          <w:szCs w:val="32"/>
        </w:rPr>
        <w:t xml:space="preserve"> 1,1 млрд.рублей.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41309">
        <w:rPr>
          <w:spacing w:val="-2"/>
          <w:sz w:val="32"/>
          <w:szCs w:val="32"/>
        </w:rPr>
        <w:t>По разделу</w:t>
      </w:r>
      <w:r w:rsidRPr="00C41309">
        <w:rPr>
          <w:b/>
          <w:spacing w:val="-2"/>
          <w:sz w:val="32"/>
          <w:szCs w:val="32"/>
        </w:rPr>
        <w:t xml:space="preserve"> «Средства массовой информации»</w:t>
      </w:r>
      <w:r w:rsidRPr="00C41309">
        <w:rPr>
          <w:spacing w:val="-2"/>
          <w:sz w:val="32"/>
          <w:szCs w:val="32"/>
        </w:rPr>
        <w:t xml:space="preserve"> расходы на 2015 </w:t>
      </w:r>
      <w:r w:rsidRPr="00C41309">
        <w:rPr>
          <w:spacing w:val="-2"/>
          <w:sz w:val="32"/>
          <w:szCs w:val="32"/>
        </w:rPr>
        <w:lastRenderedPageBreak/>
        <w:t>год прогнозируются по бюджету республики в объеме</w:t>
      </w:r>
      <w:r w:rsidRPr="00C02023">
        <w:rPr>
          <w:spacing w:val="-2"/>
          <w:sz w:val="32"/>
          <w:szCs w:val="32"/>
        </w:rPr>
        <w:t xml:space="preserve"> 1 млрд. 168 млн. рублей.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 xml:space="preserve">Заключительный раздел – </w:t>
      </w:r>
      <w:r w:rsidRPr="00C02023">
        <w:rPr>
          <w:b/>
          <w:spacing w:val="-2"/>
          <w:sz w:val="32"/>
          <w:szCs w:val="32"/>
        </w:rPr>
        <w:t>«Обслуживание государственного и муниципального долга»</w:t>
      </w:r>
      <w:r w:rsidRPr="00C02023">
        <w:rPr>
          <w:spacing w:val="-2"/>
          <w:sz w:val="32"/>
          <w:szCs w:val="32"/>
        </w:rPr>
        <w:t>. Расходы по данному разделу в консолидированном бюджете составят 1 млрд.рублей, по бюджету республики – 341 млн.рублей.</w:t>
      </w:r>
    </w:p>
    <w:p w:rsidR="00C73ADB" w:rsidRPr="00C02023" w:rsidRDefault="00C73ADB" w:rsidP="00C73ADB">
      <w:pPr>
        <w:spacing w:line="360" w:lineRule="auto"/>
        <w:ind w:firstLine="720"/>
        <w:jc w:val="both"/>
        <w:rPr>
          <w:sz w:val="32"/>
          <w:szCs w:val="32"/>
        </w:rPr>
      </w:pPr>
    </w:p>
    <w:p w:rsidR="00071C7F" w:rsidRPr="007843F4" w:rsidRDefault="00C73ADB" w:rsidP="007843F4">
      <w:pPr>
        <w:spacing w:line="360" w:lineRule="auto"/>
        <w:ind w:firstLine="720"/>
        <w:jc w:val="both"/>
        <w:rPr>
          <w:sz w:val="32"/>
          <w:szCs w:val="32"/>
        </w:rPr>
      </w:pPr>
      <w:r w:rsidRPr="00C02023">
        <w:rPr>
          <w:sz w:val="32"/>
          <w:szCs w:val="32"/>
        </w:rPr>
        <w:t>В 2015-2017 годах, также как и в 2014 году, целевые межбюджетные трансферты в виде субсидий и субвенций отражаются в соответствующих функциональных разделах и подразделах классификации расходов бюджетов. В разделе «</w:t>
      </w:r>
      <w:r w:rsidRPr="00C02023">
        <w:rPr>
          <w:b/>
          <w:sz w:val="32"/>
          <w:szCs w:val="32"/>
        </w:rPr>
        <w:t>Межбюджетные трансферты»</w:t>
      </w:r>
      <w:r w:rsidRPr="00C02023">
        <w:rPr>
          <w:sz w:val="32"/>
          <w:szCs w:val="32"/>
        </w:rPr>
        <w:t xml:space="preserve"> отражаются только дотации и прочие межбюджетные трансферты общего характера местным бюджетам в сумме 8,8 млрд. рублей</w:t>
      </w:r>
      <w:r w:rsidRPr="00C02023">
        <w:rPr>
          <w:rStyle w:val="FontStyle33"/>
          <w:sz w:val="32"/>
          <w:szCs w:val="32"/>
        </w:rPr>
        <w:t>.</w:t>
      </w:r>
    </w:p>
    <w:p w:rsidR="00071C7F" w:rsidRPr="00C02023" w:rsidRDefault="00071C7F" w:rsidP="00071C7F">
      <w:pPr>
        <w:pStyle w:val="14"/>
        <w:ind w:firstLine="709"/>
        <w:rPr>
          <w:sz w:val="32"/>
          <w:szCs w:val="32"/>
        </w:rPr>
      </w:pPr>
      <w:r w:rsidRPr="00C02023">
        <w:rPr>
          <w:sz w:val="32"/>
          <w:szCs w:val="32"/>
        </w:rPr>
        <w:t>В составе расходной части учтены межбюджетные трансферты из федерального бюджета в сумме 13,9 млрд. рублей.</w:t>
      </w:r>
    </w:p>
    <w:p w:rsidR="00A65924" w:rsidRPr="00C02023" w:rsidRDefault="00A65924" w:rsidP="00071C7F">
      <w:pPr>
        <w:pStyle w:val="14"/>
        <w:ind w:firstLine="709"/>
        <w:rPr>
          <w:sz w:val="32"/>
          <w:szCs w:val="32"/>
        </w:rPr>
      </w:pPr>
    </w:p>
    <w:p w:rsidR="00A65924" w:rsidRPr="00C02023" w:rsidRDefault="00071C7F" w:rsidP="00071C7F">
      <w:pPr>
        <w:pStyle w:val="14"/>
        <w:ind w:firstLine="709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 xml:space="preserve">Исходя из вышеназванных параметров, доходная часть консолидированного бюджета на 2015 год прогнозируется в объеме 181,6 млрд. рублей, расходная –186,9 млрд. рублей  с дефицитом 5,3 млрд. рублей. </w:t>
      </w:r>
    </w:p>
    <w:p w:rsidR="00071C7F" w:rsidRPr="00C02023" w:rsidRDefault="00071C7F" w:rsidP="00071C7F">
      <w:pPr>
        <w:pStyle w:val="14"/>
        <w:ind w:firstLine="709"/>
        <w:rPr>
          <w:rFonts w:eastAsia="Calibri"/>
          <w:sz w:val="32"/>
          <w:szCs w:val="32"/>
          <w:lang w:eastAsia="en-US"/>
        </w:rPr>
      </w:pPr>
      <w:r w:rsidRPr="00C02023">
        <w:rPr>
          <w:rFonts w:eastAsia="Calibri"/>
          <w:sz w:val="32"/>
          <w:szCs w:val="32"/>
          <w:lang w:eastAsia="en-US"/>
        </w:rPr>
        <w:t>Бюджет республики на 2015 год по доходам определяется в сумме 147,6 млрд. рублей, по расходам – 153,0 млрд. рублей с дефицитом в 5,4 млрд. рублей.</w:t>
      </w:r>
    </w:p>
    <w:p w:rsidR="00071C7F" w:rsidRDefault="00071C7F" w:rsidP="00071C7F">
      <w:pPr>
        <w:spacing w:line="360" w:lineRule="auto"/>
        <w:ind w:firstLine="720"/>
        <w:jc w:val="both"/>
        <w:rPr>
          <w:spacing w:val="-2"/>
          <w:sz w:val="32"/>
          <w:szCs w:val="32"/>
        </w:rPr>
      </w:pPr>
    </w:p>
    <w:p w:rsidR="00417E25" w:rsidRPr="00C02023" w:rsidRDefault="00417E25" w:rsidP="00071C7F">
      <w:pPr>
        <w:spacing w:line="360" w:lineRule="auto"/>
        <w:ind w:firstLine="720"/>
        <w:jc w:val="both"/>
        <w:rPr>
          <w:spacing w:val="-2"/>
          <w:sz w:val="32"/>
          <w:szCs w:val="32"/>
        </w:rPr>
      </w:pP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  <w:r w:rsidRPr="001E25B8">
        <w:rPr>
          <w:rFonts w:eastAsia="Calibri"/>
          <w:i/>
          <w:sz w:val="32"/>
          <w:szCs w:val="32"/>
          <w:u w:val="single"/>
          <w:lang w:eastAsia="en-US"/>
        </w:rPr>
        <w:lastRenderedPageBreak/>
        <w:t>Прогноз на 2016 год</w:t>
      </w:r>
      <w:r w:rsidRPr="001E25B8">
        <w:rPr>
          <w:rFonts w:eastAsia="Calibri"/>
          <w:i/>
          <w:sz w:val="32"/>
          <w:szCs w:val="32"/>
          <w:lang w:eastAsia="en-US"/>
        </w:rPr>
        <w:t>:</w:t>
      </w: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  <w:r w:rsidRPr="001E25B8">
        <w:rPr>
          <w:rFonts w:eastAsia="Calibri"/>
          <w:i/>
          <w:sz w:val="32"/>
          <w:szCs w:val="32"/>
          <w:lang w:eastAsia="en-US"/>
        </w:rPr>
        <w:t>- консолидированный бюджет: доходы – 190,3 млрд. рублей, расходы – 198,1 млрд. рублей, дефицит – 7,8 млрд. рублей;</w:t>
      </w: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  <w:r w:rsidRPr="001E25B8">
        <w:rPr>
          <w:rFonts w:eastAsia="Calibri"/>
          <w:i/>
          <w:sz w:val="32"/>
          <w:szCs w:val="32"/>
          <w:lang w:eastAsia="en-US"/>
        </w:rPr>
        <w:t>- бюджет республики: доходы – 154 млрд. рублей, расходы – 162,5 млрд. рублей, дефицит – 8,5 млрд. рублей.</w:t>
      </w: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24"/>
          <w:szCs w:val="24"/>
          <w:lang w:eastAsia="en-US"/>
        </w:rPr>
      </w:pP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u w:val="single"/>
          <w:lang w:eastAsia="en-US"/>
        </w:rPr>
      </w:pP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u w:val="single"/>
          <w:lang w:eastAsia="en-US"/>
        </w:rPr>
      </w:pPr>
      <w:r w:rsidRPr="001E25B8">
        <w:rPr>
          <w:rFonts w:eastAsia="Calibri"/>
          <w:i/>
          <w:sz w:val="32"/>
          <w:szCs w:val="32"/>
          <w:u w:val="single"/>
          <w:lang w:eastAsia="en-US"/>
        </w:rPr>
        <w:t>Прогноз на 2017 год:</w:t>
      </w: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  <w:r w:rsidRPr="001E25B8">
        <w:rPr>
          <w:rFonts w:eastAsia="Calibri"/>
          <w:i/>
          <w:sz w:val="32"/>
          <w:szCs w:val="32"/>
          <w:lang w:eastAsia="en-US"/>
        </w:rPr>
        <w:t>- консолидированный бюджет: доходы – 198,3 млрд. рублей, расходы – 210,9 млрд. рублей, дефицит – 12,6 млрд. рублей;</w:t>
      </w:r>
    </w:p>
    <w:p w:rsidR="00071C7F" w:rsidRPr="001E25B8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  <w:r w:rsidRPr="001E25B8">
        <w:rPr>
          <w:rFonts w:eastAsia="Calibri"/>
          <w:i/>
          <w:sz w:val="32"/>
          <w:szCs w:val="32"/>
          <w:lang w:eastAsia="en-US"/>
        </w:rPr>
        <w:t>- бюджет Республики Татарстан: доходы – 160,3 млрд. рублей, расходы – 174,2 млрд. рублей млрд. рублей, дефицит – 13,9 млрд. рублей.</w:t>
      </w:r>
    </w:p>
    <w:p w:rsidR="00071C7F" w:rsidRPr="00C02023" w:rsidRDefault="00071C7F" w:rsidP="00071C7F">
      <w:pPr>
        <w:spacing w:line="360" w:lineRule="auto"/>
        <w:ind w:firstLine="720"/>
        <w:jc w:val="both"/>
        <w:rPr>
          <w:rFonts w:eastAsia="Calibri"/>
          <w:i/>
          <w:sz w:val="32"/>
          <w:szCs w:val="32"/>
          <w:lang w:eastAsia="en-US"/>
        </w:rPr>
      </w:pPr>
    </w:p>
    <w:p w:rsidR="00071C7F" w:rsidRPr="00C02023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>Доклад окончен.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>Благодарю за внимание.</w:t>
      </w:r>
    </w:p>
    <w:p w:rsidR="00071C7F" w:rsidRPr="00C02023" w:rsidRDefault="00071C7F" w:rsidP="00071C7F">
      <w:pPr>
        <w:spacing w:line="360" w:lineRule="auto"/>
        <w:ind w:firstLine="709"/>
        <w:jc w:val="both"/>
        <w:rPr>
          <w:spacing w:val="-2"/>
          <w:sz w:val="32"/>
          <w:szCs w:val="32"/>
        </w:rPr>
      </w:pPr>
      <w:r w:rsidRPr="00C02023">
        <w:rPr>
          <w:spacing w:val="-2"/>
          <w:sz w:val="32"/>
          <w:szCs w:val="32"/>
        </w:rPr>
        <w:t xml:space="preserve">Игътибарыгыз </w:t>
      </w:r>
      <w:r w:rsidRPr="00C02023">
        <w:rPr>
          <w:spacing w:val="-2"/>
          <w:sz w:val="32"/>
          <w:szCs w:val="32"/>
          <w:lang w:val="tt-RU"/>
        </w:rPr>
        <w:t>ө</w:t>
      </w:r>
      <w:r w:rsidRPr="00C02023">
        <w:rPr>
          <w:spacing w:val="-2"/>
          <w:sz w:val="32"/>
          <w:szCs w:val="32"/>
        </w:rPr>
        <w:t>чен р</w:t>
      </w:r>
      <w:r w:rsidRPr="00C02023">
        <w:rPr>
          <w:spacing w:val="-2"/>
          <w:sz w:val="32"/>
          <w:szCs w:val="32"/>
          <w:lang w:val="tt-RU"/>
        </w:rPr>
        <w:t>ә</w:t>
      </w:r>
      <w:r w:rsidRPr="00C02023">
        <w:rPr>
          <w:spacing w:val="-2"/>
          <w:sz w:val="32"/>
          <w:szCs w:val="32"/>
        </w:rPr>
        <w:t>хм</w:t>
      </w:r>
      <w:r w:rsidRPr="00C02023">
        <w:rPr>
          <w:spacing w:val="-2"/>
          <w:sz w:val="32"/>
          <w:szCs w:val="32"/>
          <w:lang w:val="tt-RU"/>
        </w:rPr>
        <w:t>ә</w:t>
      </w:r>
      <w:r w:rsidRPr="00C02023">
        <w:rPr>
          <w:spacing w:val="-2"/>
          <w:sz w:val="32"/>
          <w:szCs w:val="32"/>
        </w:rPr>
        <w:t xml:space="preserve">т. </w:t>
      </w:r>
    </w:p>
    <w:p w:rsidR="00071C7F" w:rsidRPr="00C02023" w:rsidRDefault="00071C7F" w:rsidP="00AA2352">
      <w:pPr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</w:p>
    <w:p w:rsidR="00071C7F" w:rsidRPr="00C02023" w:rsidRDefault="00071C7F" w:rsidP="00AA2352">
      <w:pPr>
        <w:shd w:val="clear" w:color="auto" w:fill="FFFFFF"/>
        <w:spacing w:line="360" w:lineRule="auto"/>
        <w:ind w:firstLine="720"/>
        <w:jc w:val="both"/>
        <w:rPr>
          <w:sz w:val="32"/>
          <w:szCs w:val="32"/>
        </w:rPr>
      </w:pPr>
    </w:p>
    <w:sectPr w:rsidR="00071C7F" w:rsidRPr="00C02023" w:rsidSect="004B05BC">
      <w:headerReference w:type="even" r:id="rId8"/>
      <w:headerReference w:type="default" r:id="rId9"/>
      <w:pgSz w:w="11909" w:h="16834"/>
      <w:pgMar w:top="284" w:right="763" w:bottom="1276" w:left="1276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B9" w:rsidRDefault="00DF7BB9">
      <w:r>
        <w:separator/>
      </w:r>
    </w:p>
  </w:endnote>
  <w:endnote w:type="continuationSeparator" w:id="0">
    <w:p w:rsidR="00DF7BB9" w:rsidRDefault="00DF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B9" w:rsidRDefault="00DF7BB9">
      <w:r>
        <w:separator/>
      </w:r>
    </w:p>
  </w:footnote>
  <w:footnote w:type="continuationSeparator" w:id="0">
    <w:p w:rsidR="00DF7BB9" w:rsidRDefault="00DF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B8" w:rsidRDefault="003B71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25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25B8" w:rsidRDefault="001E25B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B8" w:rsidRDefault="003B71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25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43F4">
      <w:rPr>
        <w:rStyle w:val="a6"/>
        <w:noProof/>
      </w:rPr>
      <w:t>12</w:t>
    </w:r>
    <w:r>
      <w:rPr>
        <w:rStyle w:val="a6"/>
      </w:rPr>
      <w:fldChar w:fldCharType="end"/>
    </w:r>
  </w:p>
  <w:p w:rsidR="001E25B8" w:rsidRDefault="001E25B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ECD0E8"/>
    <w:lvl w:ilvl="0">
      <w:numFmt w:val="decimal"/>
      <w:lvlText w:val="*"/>
      <w:lvlJc w:val="left"/>
    </w:lvl>
  </w:abstractNum>
  <w:abstractNum w:abstractNumId="1">
    <w:nsid w:val="572874A7"/>
    <w:multiLevelType w:val="singleLevel"/>
    <w:tmpl w:val="D598E7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E3C58"/>
    <w:rsid w:val="00011218"/>
    <w:rsid w:val="000136A2"/>
    <w:rsid w:val="00020120"/>
    <w:rsid w:val="0002096F"/>
    <w:rsid w:val="0003460D"/>
    <w:rsid w:val="000405A5"/>
    <w:rsid w:val="0004626F"/>
    <w:rsid w:val="00057EE9"/>
    <w:rsid w:val="000619B0"/>
    <w:rsid w:val="0006243F"/>
    <w:rsid w:val="00063C0E"/>
    <w:rsid w:val="0006659C"/>
    <w:rsid w:val="000700BC"/>
    <w:rsid w:val="00071C7F"/>
    <w:rsid w:val="00073485"/>
    <w:rsid w:val="00081645"/>
    <w:rsid w:val="0008411F"/>
    <w:rsid w:val="0009310F"/>
    <w:rsid w:val="00095291"/>
    <w:rsid w:val="000B1190"/>
    <w:rsid w:val="000B5F6F"/>
    <w:rsid w:val="000C39BD"/>
    <w:rsid w:val="000C7963"/>
    <w:rsid w:val="000D068C"/>
    <w:rsid w:val="000D4119"/>
    <w:rsid w:val="000D6AB9"/>
    <w:rsid w:val="000E3B30"/>
    <w:rsid w:val="000F1326"/>
    <w:rsid w:val="000F3C93"/>
    <w:rsid w:val="000F4695"/>
    <w:rsid w:val="000F48B9"/>
    <w:rsid w:val="000F4CA6"/>
    <w:rsid w:val="000F79E4"/>
    <w:rsid w:val="0010132D"/>
    <w:rsid w:val="00113646"/>
    <w:rsid w:val="00114E08"/>
    <w:rsid w:val="00115A43"/>
    <w:rsid w:val="0012146B"/>
    <w:rsid w:val="0013777B"/>
    <w:rsid w:val="00137B91"/>
    <w:rsid w:val="0014185F"/>
    <w:rsid w:val="00141DCA"/>
    <w:rsid w:val="00145DBB"/>
    <w:rsid w:val="001503AD"/>
    <w:rsid w:val="001630DA"/>
    <w:rsid w:val="00165050"/>
    <w:rsid w:val="00175973"/>
    <w:rsid w:val="00177B38"/>
    <w:rsid w:val="00183E8C"/>
    <w:rsid w:val="00184BFF"/>
    <w:rsid w:val="00185605"/>
    <w:rsid w:val="001873F0"/>
    <w:rsid w:val="00190088"/>
    <w:rsid w:val="00191824"/>
    <w:rsid w:val="00196628"/>
    <w:rsid w:val="001A18BE"/>
    <w:rsid w:val="001A74EE"/>
    <w:rsid w:val="001A7935"/>
    <w:rsid w:val="001B0873"/>
    <w:rsid w:val="001B27AD"/>
    <w:rsid w:val="001B67BF"/>
    <w:rsid w:val="001B72FD"/>
    <w:rsid w:val="001B7F0A"/>
    <w:rsid w:val="001C57C6"/>
    <w:rsid w:val="001E1857"/>
    <w:rsid w:val="001E25B8"/>
    <w:rsid w:val="001E331A"/>
    <w:rsid w:val="001E4485"/>
    <w:rsid w:val="001F1012"/>
    <w:rsid w:val="00202425"/>
    <w:rsid w:val="00204CD8"/>
    <w:rsid w:val="0021105F"/>
    <w:rsid w:val="00215C31"/>
    <w:rsid w:val="002169CA"/>
    <w:rsid w:val="00230210"/>
    <w:rsid w:val="00232733"/>
    <w:rsid w:val="00243B86"/>
    <w:rsid w:val="00251F53"/>
    <w:rsid w:val="00253CA0"/>
    <w:rsid w:val="00255B96"/>
    <w:rsid w:val="00263053"/>
    <w:rsid w:val="00263EDA"/>
    <w:rsid w:val="002648BB"/>
    <w:rsid w:val="00266592"/>
    <w:rsid w:val="00266806"/>
    <w:rsid w:val="00270169"/>
    <w:rsid w:val="00270901"/>
    <w:rsid w:val="00271165"/>
    <w:rsid w:val="002807B6"/>
    <w:rsid w:val="00284163"/>
    <w:rsid w:val="00285F59"/>
    <w:rsid w:val="00287100"/>
    <w:rsid w:val="002912FE"/>
    <w:rsid w:val="00293DF0"/>
    <w:rsid w:val="002951BB"/>
    <w:rsid w:val="00295E66"/>
    <w:rsid w:val="002A46CB"/>
    <w:rsid w:val="002B4540"/>
    <w:rsid w:val="002C2C79"/>
    <w:rsid w:val="002C7A7C"/>
    <w:rsid w:val="002D3777"/>
    <w:rsid w:val="002E1CB9"/>
    <w:rsid w:val="002E2D9E"/>
    <w:rsid w:val="002E7A52"/>
    <w:rsid w:val="002F1491"/>
    <w:rsid w:val="002F4D79"/>
    <w:rsid w:val="002F7F36"/>
    <w:rsid w:val="00307838"/>
    <w:rsid w:val="003115B7"/>
    <w:rsid w:val="00323267"/>
    <w:rsid w:val="00325770"/>
    <w:rsid w:val="00327CD9"/>
    <w:rsid w:val="00330CA4"/>
    <w:rsid w:val="00331273"/>
    <w:rsid w:val="0033302D"/>
    <w:rsid w:val="00340385"/>
    <w:rsid w:val="003548C0"/>
    <w:rsid w:val="00362743"/>
    <w:rsid w:val="003642FB"/>
    <w:rsid w:val="00365407"/>
    <w:rsid w:val="00366E99"/>
    <w:rsid w:val="00367D1E"/>
    <w:rsid w:val="00367EDB"/>
    <w:rsid w:val="0037434E"/>
    <w:rsid w:val="00374831"/>
    <w:rsid w:val="00384F97"/>
    <w:rsid w:val="00393AF0"/>
    <w:rsid w:val="00394163"/>
    <w:rsid w:val="00394B72"/>
    <w:rsid w:val="003A658B"/>
    <w:rsid w:val="003A75FD"/>
    <w:rsid w:val="003B2653"/>
    <w:rsid w:val="003B71A0"/>
    <w:rsid w:val="003C32A5"/>
    <w:rsid w:val="003C3934"/>
    <w:rsid w:val="003C54E5"/>
    <w:rsid w:val="003D1461"/>
    <w:rsid w:val="003D30F1"/>
    <w:rsid w:val="003D50A4"/>
    <w:rsid w:val="003D7B59"/>
    <w:rsid w:val="003E0032"/>
    <w:rsid w:val="003E23B1"/>
    <w:rsid w:val="003F0D6C"/>
    <w:rsid w:val="003F0E30"/>
    <w:rsid w:val="003F1DE8"/>
    <w:rsid w:val="003F30F1"/>
    <w:rsid w:val="003F5919"/>
    <w:rsid w:val="003F61EE"/>
    <w:rsid w:val="00405D46"/>
    <w:rsid w:val="00407163"/>
    <w:rsid w:val="004172F4"/>
    <w:rsid w:val="00417E25"/>
    <w:rsid w:val="004345E6"/>
    <w:rsid w:val="00434FA4"/>
    <w:rsid w:val="00440756"/>
    <w:rsid w:val="00450B44"/>
    <w:rsid w:val="00452746"/>
    <w:rsid w:val="00452F62"/>
    <w:rsid w:val="00455736"/>
    <w:rsid w:val="00456B75"/>
    <w:rsid w:val="00460559"/>
    <w:rsid w:val="00467D04"/>
    <w:rsid w:val="0047595D"/>
    <w:rsid w:val="00475CDD"/>
    <w:rsid w:val="004766D9"/>
    <w:rsid w:val="00482F08"/>
    <w:rsid w:val="00487151"/>
    <w:rsid w:val="00490415"/>
    <w:rsid w:val="004A06A6"/>
    <w:rsid w:val="004A14B4"/>
    <w:rsid w:val="004B05BC"/>
    <w:rsid w:val="004B1644"/>
    <w:rsid w:val="004B2096"/>
    <w:rsid w:val="004B5A46"/>
    <w:rsid w:val="004B5D97"/>
    <w:rsid w:val="004C0BAD"/>
    <w:rsid w:val="004C459C"/>
    <w:rsid w:val="004C5D11"/>
    <w:rsid w:val="004C756E"/>
    <w:rsid w:val="004C7D70"/>
    <w:rsid w:val="004D5435"/>
    <w:rsid w:val="004E0431"/>
    <w:rsid w:val="004E25FD"/>
    <w:rsid w:val="004E295B"/>
    <w:rsid w:val="004E3443"/>
    <w:rsid w:val="004E5983"/>
    <w:rsid w:val="004E6952"/>
    <w:rsid w:val="004F11F5"/>
    <w:rsid w:val="004F6BE1"/>
    <w:rsid w:val="005067F4"/>
    <w:rsid w:val="00506975"/>
    <w:rsid w:val="0051138C"/>
    <w:rsid w:val="00513F5F"/>
    <w:rsid w:val="00514284"/>
    <w:rsid w:val="005163E7"/>
    <w:rsid w:val="005317B3"/>
    <w:rsid w:val="00532428"/>
    <w:rsid w:val="00534186"/>
    <w:rsid w:val="00535ECB"/>
    <w:rsid w:val="005371A5"/>
    <w:rsid w:val="005404BE"/>
    <w:rsid w:val="00541729"/>
    <w:rsid w:val="005431F0"/>
    <w:rsid w:val="00543AEA"/>
    <w:rsid w:val="00552071"/>
    <w:rsid w:val="0055208F"/>
    <w:rsid w:val="00552AB8"/>
    <w:rsid w:val="00555707"/>
    <w:rsid w:val="00567ECF"/>
    <w:rsid w:val="0057467E"/>
    <w:rsid w:val="0058075A"/>
    <w:rsid w:val="005A3364"/>
    <w:rsid w:val="005A3721"/>
    <w:rsid w:val="005A4612"/>
    <w:rsid w:val="005B0F9D"/>
    <w:rsid w:val="005B17F6"/>
    <w:rsid w:val="005B44BB"/>
    <w:rsid w:val="005C49DA"/>
    <w:rsid w:val="005D1FE7"/>
    <w:rsid w:val="005E1D22"/>
    <w:rsid w:val="005E2EA2"/>
    <w:rsid w:val="005F799A"/>
    <w:rsid w:val="00600C2F"/>
    <w:rsid w:val="00601C1B"/>
    <w:rsid w:val="00610A07"/>
    <w:rsid w:val="0061549E"/>
    <w:rsid w:val="0062132F"/>
    <w:rsid w:val="00621F18"/>
    <w:rsid w:val="006220DB"/>
    <w:rsid w:val="00623F9B"/>
    <w:rsid w:val="00632E1D"/>
    <w:rsid w:val="00637157"/>
    <w:rsid w:val="006405F1"/>
    <w:rsid w:val="00647C7F"/>
    <w:rsid w:val="00652A59"/>
    <w:rsid w:val="006614B9"/>
    <w:rsid w:val="00661FFC"/>
    <w:rsid w:val="00662CD9"/>
    <w:rsid w:val="00671FF7"/>
    <w:rsid w:val="00676C6E"/>
    <w:rsid w:val="00677965"/>
    <w:rsid w:val="00684FE1"/>
    <w:rsid w:val="00692895"/>
    <w:rsid w:val="00692DEB"/>
    <w:rsid w:val="00694196"/>
    <w:rsid w:val="006956D4"/>
    <w:rsid w:val="006A5ABA"/>
    <w:rsid w:val="006A6960"/>
    <w:rsid w:val="006A75F7"/>
    <w:rsid w:val="006B11BD"/>
    <w:rsid w:val="006B3970"/>
    <w:rsid w:val="006B6914"/>
    <w:rsid w:val="006C1565"/>
    <w:rsid w:val="006C1821"/>
    <w:rsid w:val="006C298A"/>
    <w:rsid w:val="006C2CF4"/>
    <w:rsid w:val="006C6781"/>
    <w:rsid w:val="006C7879"/>
    <w:rsid w:val="006D0D13"/>
    <w:rsid w:val="006D7B28"/>
    <w:rsid w:val="006E1CE2"/>
    <w:rsid w:val="006E5830"/>
    <w:rsid w:val="006E6B5D"/>
    <w:rsid w:val="006F04C7"/>
    <w:rsid w:val="006F15C2"/>
    <w:rsid w:val="006F1A2D"/>
    <w:rsid w:val="006F576E"/>
    <w:rsid w:val="006F5831"/>
    <w:rsid w:val="00704295"/>
    <w:rsid w:val="00705294"/>
    <w:rsid w:val="00706028"/>
    <w:rsid w:val="0070742A"/>
    <w:rsid w:val="00710394"/>
    <w:rsid w:val="00710A28"/>
    <w:rsid w:val="00710FD9"/>
    <w:rsid w:val="007159D1"/>
    <w:rsid w:val="00721565"/>
    <w:rsid w:val="00724A08"/>
    <w:rsid w:val="00725612"/>
    <w:rsid w:val="00734AA2"/>
    <w:rsid w:val="007355CE"/>
    <w:rsid w:val="00742C80"/>
    <w:rsid w:val="007504C5"/>
    <w:rsid w:val="0077352C"/>
    <w:rsid w:val="00773636"/>
    <w:rsid w:val="00774AE0"/>
    <w:rsid w:val="007776E3"/>
    <w:rsid w:val="007843F4"/>
    <w:rsid w:val="00784C2F"/>
    <w:rsid w:val="00786174"/>
    <w:rsid w:val="00786C31"/>
    <w:rsid w:val="00792C73"/>
    <w:rsid w:val="007955A3"/>
    <w:rsid w:val="00795B43"/>
    <w:rsid w:val="007964C3"/>
    <w:rsid w:val="007A10C4"/>
    <w:rsid w:val="007B0F85"/>
    <w:rsid w:val="007B4C13"/>
    <w:rsid w:val="007C3E87"/>
    <w:rsid w:val="007C44E6"/>
    <w:rsid w:val="007D2B4E"/>
    <w:rsid w:val="007E06B1"/>
    <w:rsid w:val="007E291B"/>
    <w:rsid w:val="007E72C3"/>
    <w:rsid w:val="007F172A"/>
    <w:rsid w:val="007F4D25"/>
    <w:rsid w:val="00800519"/>
    <w:rsid w:val="008023CF"/>
    <w:rsid w:val="00802AD1"/>
    <w:rsid w:val="00803227"/>
    <w:rsid w:val="00806E64"/>
    <w:rsid w:val="008105DE"/>
    <w:rsid w:val="00811DE7"/>
    <w:rsid w:val="00814B48"/>
    <w:rsid w:val="00814FC1"/>
    <w:rsid w:val="00817DC5"/>
    <w:rsid w:val="00823B8B"/>
    <w:rsid w:val="00837617"/>
    <w:rsid w:val="00842EBA"/>
    <w:rsid w:val="00846E64"/>
    <w:rsid w:val="00852996"/>
    <w:rsid w:val="0085509F"/>
    <w:rsid w:val="00862283"/>
    <w:rsid w:val="00872229"/>
    <w:rsid w:val="00882C82"/>
    <w:rsid w:val="008832CA"/>
    <w:rsid w:val="0088419A"/>
    <w:rsid w:val="00885D34"/>
    <w:rsid w:val="008A2876"/>
    <w:rsid w:val="008A3B90"/>
    <w:rsid w:val="008A5DE3"/>
    <w:rsid w:val="008A748B"/>
    <w:rsid w:val="008C06F1"/>
    <w:rsid w:val="008C25F7"/>
    <w:rsid w:val="008C6AAC"/>
    <w:rsid w:val="008C7928"/>
    <w:rsid w:val="008D3426"/>
    <w:rsid w:val="008D79EF"/>
    <w:rsid w:val="008E4651"/>
    <w:rsid w:val="008E4A4D"/>
    <w:rsid w:val="008E7840"/>
    <w:rsid w:val="008F0760"/>
    <w:rsid w:val="008F2447"/>
    <w:rsid w:val="008F47FF"/>
    <w:rsid w:val="00907431"/>
    <w:rsid w:val="00911134"/>
    <w:rsid w:val="0091285F"/>
    <w:rsid w:val="00912A07"/>
    <w:rsid w:val="0091795C"/>
    <w:rsid w:val="009252C8"/>
    <w:rsid w:val="00930203"/>
    <w:rsid w:val="00932AC0"/>
    <w:rsid w:val="00933D08"/>
    <w:rsid w:val="00943C0D"/>
    <w:rsid w:val="00947988"/>
    <w:rsid w:val="0095106A"/>
    <w:rsid w:val="00955A59"/>
    <w:rsid w:val="00960954"/>
    <w:rsid w:val="00962A1C"/>
    <w:rsid w:val="00962F07"/>
    <w:rsid w:val="009631F4"/>
    <w:rsid w:val="00965DF8"/>
    <w:rsid w:val="00970330"/>
    <w:rsid w:val="00973096"/>
    <w:rsid w:val="009747C4"/>
    <w:rsid w:val="0097581B"/>
    <w:rsid w:val="00983FA4"/>
    <w:rsid w:val="00994933"/>
    <w:rsid w:val="009A68ED"/>
    <w:rsid w:val="009A69F8"/>
    <w:rsid w:val="009B07F2"/>
    <w:rsid w:val="009B20F6"/>
    <w:rsid w:val="009B2BD8"/>
    <w:rsid w:val="009B33CA"/>
    <w:rsid w:val="009B351D"/>
    <w:rsid w:val="009B5534"/>
    <w:rsid w:val="009B6790"/>
    <w:rsid w:val="009C16F8"/>
    <w:rsid w:val="009C4F0C"/>
    <w:rsid w:val="009D3E5C"/>
    <w:rsid w:val="009D5432"/>
    <w:rsid w:val="009E3762"/>
    <w:rsid w:val="009F1561"/>
    <w:rsid w:val="009F2050"/>
    <w:rsid w:val="00A01508"/>
    <w:rsid w:val="00A020C8"/>
    <w:rsid w:val="00A125A7"/>
    <w:rsid w:val="00A15356"/>
    <w:rsid w:val="00A17018"/>
    <w:rsid w:val="00A220E8"/>
    <w:rsid w:val="00A314FB"/>
    <w:rsid w:val="00A33E6F"/>
    <w:rsid w:val="00A4656B"/>
    <w:rsid w:val="00A5158E"/>
    <w:rsid w:val="00A6072B"/>
    <w:rsid w:val="00A63DF2"/>
    <w:rsid w:val="00A65924"/>
    <w:rsid w:val="00A727A7"/>
    <w:rsid w:val="00A7528F"/>
    <w:rsid w:val="00A77AC6"/>
    <w:rsid w:val="00A93122"/>
    <w:rsid w:val="00A9682B"/>
    <w:rsid w:val="00AA2352"/>
    <w:rsid w:val="00AA574E"/>
    <w:rsid w:val="00AA7BF1"/>
    <w:rsid w:val="00AB5EF1"/>
    <w:rsid w:val="00AC4435"/>
    <w:rsid w:val="00AD0B99"/>
    <w:rsid w:val="00AD6C99"/>
    <w:rsid w:val="00AE2DA7"/>
    <w:rsid w:val="00AF0C43"/>
    <w:rsid w:val="00AF518A"/>
    <w:rsid w:val="00B07746"/>
    <w:rsid w:val="00B12CBE"/>
    <w:rsid w:val="00B17840"/>
    <w:rsid w:val="00B236B5"/>
    <w:rsid w:val="00B24BC8"/>
    <w:rsid w:val="00B25CA5"/>
    <w:rsid w:val="00B26DB4"/>
    <w:rsid w:val="00B369AF"/>
    <w:rsid w:val="00B36A5D"/>
    <w:rsid w:val="00B4064C"/>
    <w:rsid w:val="00B42012"/>
    <w:rsid w:val="00B455BC"/>
    <w:rsid w:val="00B53E06"/>
    <w:rsid w:val="00B54E7C"/>
    <w:rsid w:val="00B61F9A"/>
    <w:rsid w:val="00B75B8C"/>
    <w:rsid w:val="00B81786"/>
    <w:rsid w:val="00B83C69"/>
    <w:rsid w:val="00B84F8C"/>
    <w:rsid w:val="00B92FA9"/>
    <w:rsid w:val="00B940A0"/>
    <w:rsid w:val="00B97BB8"/>
    <w:rsid w:val="00BA79F7"/>
    <w:rsid w:val="00BB4AC2"/>
    <w:rsid w:val="00BD0E3B"/>
    <w:rsid w:val="00BD3715"/>
    <w:rsid w:val="00BD6FC2"/>
    <w:rsid w:val="00BD7C57"/>
    <w:rsid w:val="00BE1875"/>
    <w:rsid w:val="00BE545D"/>
    <w:rsid w:val="00BF0194"/>
    <w:rsid w:val="00BF1114"/>
    <w:rsid w:val="00BF605D"/>
    <w:rsid w:val="00C02023"/>
    <w:rsid w:val="00C32272"/>
    <w:rsid w:val="00C328C0"/>
    <w:rsid w:val="00C342D3"/>
    <w:rsid w:val="00C34500"/>
    <w:rsid w:val="00C35450"/>
    <w:rsid w:val="00C35CB4"/>
    <w:rsid w:val="00C36576"/>
    <w:rsid w:val="00C41309"/>
    <w:rsid w:val="00C46514"/>
    <w:rsid w:val="00C60095"/>
    <w:rsid w:val="00C62A53"/>
    <w:rsid w:val="00C73ADB"/>
    <w:rsid w:val="00C76968"/>
    <w:rsid w:val="00C90D51"/>
    <w:rsid w:val="00C923DB"/>
    <w:rsid w:val="00C978EB"/>
    <w:rsid w:val="00C97F93"/>
    <w:rsid w:val="00CA3C63"/>
    <w:rsid w:val="00CA4B9A"/>
    <w:rsid w:val="00CA6C9B"/>
    <w:rsid w:val="00CB0DFE"/>
    <w:rsid w:val="00CB13B7"/>
    <w:rsid w:val="00CB27D3"/>
    <w:rsid w:val="00CB3062"/>
    <w:rsid w:val="00CC3F09"/>
    <w:rsid w:val="00CC73D6"/>
    <w:rsid w:val="00CD0412"/>
    <w:rsid w:val="00CD477C"/>
    <w:rsid w:val="00CD5DEE"/>
    <w:rsid w:val="00CE2EA6"/>
    <w:rsid w:val="00CE2FED"/>
    <w:rsid w:val="00D00DAD"/>
    <w:rsid w:val="00D06DB8"/>
    <w:rsid w:val="00D11C14"/>
    <w:rsid w:val="00D2056A"/>
    <w:rsid w:val="00D2252D"/>
    <w:rsid w:val="00D30315"/>
    <w:rsid w:val="00D36997"/>
    <w:rsid w:val="00D379AC"/>
    <w:rsid w:val="00D43840"/>
    <w:rsid w:val="00D52390"/>
    <w:rsid w:val="00D53566"/>
    <w:rsid w:val="00D57982"/>
    <w:rsid w:val="00D65AF7"/>
    <w:rsid w:val="00D662F5"/>
    <w:rsid w:val="00D72096"/>
    <w:rsid w:val="00D7241F"/>
    <w:rsid w:val="00D841C2"/>
    <w:rsid w:val="00D93EE4"/>
    <w:rsid w:val="00D96AD0"/>
    <w:rsid w:val="00DA0728"/>
    <w:rsid w:val="00DA56C5"/>
    <w:rsid w:val="00DA6987"/>
    <w:rsid w:val="00DB256D"/>
    <w:rsid w:val="00DB7BBA"/>
    <w:rsid w:val="00DC2760"/>
    <w:rsid w:val="00DC2EAB"/>
    <w:rsid w:val="00DC593B"/>
    <w:rsid w:val="00DC60E1"/>
    <w:rsid w:val="00DD2387"/>
    <w:rsid w:val="00DD60EA"/>
    <w:rsid w:val="00DE00A6"/>
    <w:rsid w:val="00DE3C58"/>
    <w:rsid w:val="00DE5C83"/>
    <w:rsid w:val="00DE5CAF"/>
    <w:rsid w:val="00DE641A"/>
    <w:rsid w:val="00DE6D8A"/>
    <w:rsid w:val="00DF3D91"/>
    <w:rsid w:val="00DF7BB9"/>
    <w:rsid w:val="00E009EB"/>
    <w:rsid w:val="00E00CC1"/>
    <w:rsid w:val="00E02C3D"/>
    <w:rsid w:val="00E10415"/>
    <w:rsid w:val="00E20314"/>
    <w:rsid w:val="00E21116"/>
    <w:rsid w:val="00E23A51"/>
    <w:rsid w:val="00E265D6"/>
    <w:rsid w:val="00E34B40"/>
    <w:rsid w:val="00E417EA"/>
    <w:rsid w:val="00E442C8"/>
    <w:rsid w:val="00E54B29"/>
    <w:rsid w:val="00E612CA"/>
    <w:rsid w:val="00E623F3"/>
    <w:rsid w:val="00E627EF"/>
    <w:rsid w:val="00E62D47"/>
    <w:rsid w:val="00E65521"/>
    <w:rsid w:val="00E70CB8"/>
    <w:rsid w:val="00E72252"/>
    <w:rsid w:val="00E737BC"/>
    <w:rsid w:val="00E748BA"/>
    <w:rsid w:val="00E76E98"/>
    <w:rsid w:val="00E80CE8"/>
    <w:rsid w:val="00E824AC"/>
    <w:rsid w:val="00E82BF8"/>
    <w:rsid w:val="00E845B1"/>
    <w:rsid w:val="00E90F75"/>
    <w:rsid w:val="00E932EF"/>
    <w:rsid w:val="00E9579D"/>
    <w:rsid w:val="00E958B4"/>
    <w:rsid w:val="00EA5BC8"/>
    <w:rsid w:val="00EA6431"/>
    <w:rsid w:val="00EB1F04"/>
    <w:rsid w:val="00EB244D"/>
    <w:rsid w:val="00EB69A2"/>
    <w:rsid w:val="00EC2DC3"/>
    <w:rsid w:val="00EE4B64"/>
    <w:rsid w:val="00EE716C"/>
    <w:rsid w:val="00EF17F9"/>
    <w:rsid w:val="00F001BE"/>
    <w:rsid w:val="00F0175B"/>
    <w:rsid w:val="00F04767"/>
    <w:rsid w:val="00F048D1"/>
    <w:rsid w:val="00F125B6"/>
    <w:rsid w:val="00F13641"/>
    <w:rsid w:val="00F148FF"/>
    <w:rsid w:val="00F21F6B"/>
    <w:rsid w:val="00F342A6"/>
    <w:rsid w:val="00F40CBC"/>
    <w:rsid w:val="00F52B3C"/>
    <w:rsid w:val="00F5753A"/>
    <w:rsid w:val="00F57649"/>
    <w:rsid w:val="00F5779C"/>
    <w:rsid w:val="00F617EE"/>
    <w:rsid w:val="00F62D29"/>
    <w:rsid w:val="00F633F9"/>
    <w:rsid w:val="00F65D8C"/>
    <w:rsid w:val="00F84798"/>
    <w:rsid w:val="00F91848"/>
    <w:rsid w:val="00F95530"/>
    <w:rsid w:val="00F96AB7"/>
    <w:rsid w:val="00FB5E2E"/>
    <w:rsid w:val="00FB6352"/>
    <w:rsid w:val="00FB66B0"/>
    <w:rsid w:val="00FC0DBC"/>
    <w:rsid w:val="00FC141A"/>
    <w:rsid w:val="00FC598A"/>
    <w:rsid w:val="00FD3925"/>
    <w:rsid w:val="00FD430F"/>
    <w:rsid w:val="00FD468A"/>
    <w:rsid w:val="00FE0790"/>
    <w:rsid w:val="00FE265E"/>
    <w:rsid w:val="00FE587B"/>
    <w:rsid w:val="00FF0D99"/>
    <w:rsid w:val="00FF3BFA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42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1116"/>
    <w:pPr>
      <w:keepNext/>
      <w:widowControl/>
      <w:autoSpaceDE/>
      <w:autoSpaceDN/>
      <w:adjustRightInd/>
      <w:spacing w:line="360" w:lineRule="auto"/>
      <w:jc w:val="center"/>
      <w:outlineLvl w:val="1"/>
    </w:pPr>
    <w:rPr>
      <w:spacing w:val="-2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E21116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E21116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8"/>
    </w:rPr>
  </w:style>
  <w:style w:type="paragraph" w:styleId="3">
    <w:name w:val="Body Text Indent 3"/>
    <w:basedOn w:val="a"/>
    <w:rsid w:val="00E21116"/>
    <w:pPr>
      <w:widowControl/>
      <w:shd w:val="clear" w:color="auto" w:fill="FFFFFF"/>
      <w:autoSpaceDE/>
      <w:autoSpaceDN/>
      <w:adjustRightInd/>
      <w:spacing w:line="480" w:lineRule="auto"/>
      <w:ind w:firstLine="902"/>
      <w:jc w:val="both"/>
    </w:pPr>
    <w:rPr>
      <w:sz w:val="28"/>
      <w:szCs w:val="28"/>
    </w:rPr>
  </w:style>
  <w:style w:type="paragraph" w:customStyle="1" w:styleId="10">
    <w:name w:val="Ñòèëü1"/>
    <w:basedOn w:val="a"/>
    <w:link w:val="11"/>
    <w:rsid w:val="00E21116"/>
    <w:pPr>
      <w:widowControl/>
      <w:autoSpaceDE/>
      <w:autoSpaceDN/>
      <w:adjustRightInd/>
      <w:spacing w:line="288" w:lineRule="auto"/>
    </w:pPr>
    <w:rPr>
      <w:sz w:val="28"/>
      <w:szCs w:val="24"/>
    </w:rPr>
  </w:style>
  <w:style w:type="paragraph" w:styleId="a3">
    <w:name w:val="Body Text Indent"/>
    <w:basedOn w:val="a"/>
    <w:rsid w:val="00E21116"/>
    <w:pPr>
      <w:spacing w:line="360" w:lineRule="auto"/>
      <w:ind w:firstLine="900"/>
      <w:jc w:val="both"/>
    </w:pPr>
    <w:rPr>
      <w:sz w:val="32"/>
      <w:szCs w:val="28"/>
    </w:rPr>
  </w:style>
  <w:style w:type="paragraph" w:styleId="a4">
    <w:name w:val="Block Text"/>
    <w:basedOn w:val="a"/>
    <w:rsid w:val="00E21116"/>
    <w:pPr>
      <w:shd w:val="clear" w:color="auto" w:fill="FFFFFF"/>
      <w:spacing w:line="324" w:lineRule="exact"/>
      <w:ind w:left="4824" w:right="86"/>
      <w:jc w:val="both"/>
    </w:pPr>
    <w:rPr>
      <w:sz w:val="32"/>
      <w:szCs w:val="26"/>
    </w:rPr>
  </w:style>
  <w:style w:type="paragraph" w:styleId="a5">
    <w:name w:val="header"/>
    <w:basedOn w:val="a"/>
    <w:rsid w:val="00E211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1116"/>
  </w:style>
  <w:style w:type="character" w:customStyle="1" w:styleId="FontStyle33">
    <w:name w:val="Font Style33"/>
    <w:basedOn w:val="a0"/>
    <w:rsid w:val="00742C80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42C80"/>
    <w:pPr>
      <w:spacing w:line="286" w:lineRule="exact"/>
      <w:ind w:firstLine="626"/>
      <w:jc w:val="both"/>
    </w:pPr>
    <w:rPr>
      <w:sz w:val="24"/>
      <w:szCs w:val="24"/>
    </w:rPr>
  </w:style>
  <w:style w:type="paragraph" w:customStyle="1" w:styleId="ConsNormal">
    <w:name w:val="ConsNormal"/>
    <w:rsid w:val="00742C80"/>
    <w:pPr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paragraph" w:customStyle="1" w:styleId="ConsPlusTitle">
    <w:name w:val="ConsPlusTitle"/>
    <w:rsid w:val="0074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806E6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3F0D6C"/>
    <w:pPr>
      <w:widowControl/>
      <w:autoSpaceDE/>
      <w:autoSpaceDN/>
      <w:adjustRightInd/>
      <w:spacing w:line="288" w:lineRule="auto"/>
    </w:pPr>
    <w:rPr>
      <w:sz w:val="28"/>
    </w:rPr>
  </w:style>
  <w:style w:type="paragraph" w:styleId="a8">
    <w:name w:val="List Paragraph"/>
    <w:basedOn w:val="a"/>
    <w:uiPriority w:val="34"/>
    <w:qFormat/>
    <w:rsid w:val="003F0D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C2DC3"/>
    <w:rPr>
      <w:spacing w:val="-2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EC2DC3"/>
    <w:rPr>
      <w:sz w:val="28"/>
      <w:szCs w:val="28"/>
    </w:rPr>
  </w:style>
  <w:style w:type="character" w:customStyle="1" w:styleId="11">
    <w:name w:val="Ñòèëü1 Знак"/>
    <w:basedOn w:val="a0"/>
    <w:link w:val="10"/>
    <w:rsid w:val="00EC2DC3"/>
    <w:rPr>
      <w:sz w:val="28"/>
      <w:szCs w:val="24"/>
    </w:rPr>
  </w:style>
  <w:style w:type="paragraph" w:customStyle="1" w:styleId="ConsPlusNormal">
    <w:name w:val="ConsPlusNormal"/>
    <w:rsid w:val="001B67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6A5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A5A4-FC47-4E5D-B25C-28FDCDE4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министра финансов на Парламентских слушаниях 9</vt:lpstr>
    </vt:vector>
  </TitlesOfParts>
  <Company>Minfin RT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министра финансов на Парламентских слушаниях 9</dc:title>
  <dc:subject/>
  <dc:creator>usermf</dc:creator>
  <cp:keywords/>
  <dc:description/>
  <cp:lastModifiedBy>Dilyara.Gapsalamova</cp:lastModifiedBy>
  <cp:revision>2</cp:revision>
  <cp:lastPrinted>2014-10-27T13:32:00Z</cp:lastPrinted>
  <dcterms:created xsi:type="dcterms:W3CDTF">2014-10-30T09:09:00Z</dcterms:created>
  <dcterms:modified xsi:type="dcterms:W3CDTF">2014-10-30T09:09:00Z</dcterms:modified>
</cp:coreProperties>
</file>