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9EB" w:rsidRDefault="00FA09EB" w:rsidP="00FA09EB">
      <w:pPr>
        <w:jc w:val="both"/>
        <w:rPr>
          <w:rFonts w:ascii="Times New Roman" w:hAnsi="Times New Roman" w:cs="Times New Roman"/>
          <w:color w:val="293239"/>
          <w:sz w:val="28"/>
          <w:szCs w:val="28"/>
        </w:rPr>
      </w:pPr>
      <w:bookmarkStart w:id="0" w:name="_GoBack"/>
      <w:r w:rsidRPr="00FA09EB">
        <w:rPr>
          <w:rFonts w:ascii="Times New Roman" w:hAnsi="Times New Roman" w:cs="Times New Roman"/>
          <w:color w:val="293239"/>
          <w:sz w:val="28"/>
          <w:szCs w:val="28"/>
        </w:rPr>
        <w:t xml:space="preserve">Радик </w:t>
      </w:r>
      <w:proofErr w:type="spellStart"/>
      <w:r w:rsidRPr="00FA09EB">
        <w:rPr>
          <w:rFonts w:ascii="Times New Roman" w:hAnsi="Times New Roman" w:cs="Times New Roman"/>
          <w:color w:val="293239"/>
          <w:sz w:val="28"/>
          <w:szCs w:val="28"/>
        </w:rPr>
        <w:t>Гайзатуллин</w:t>
      </w:r>
      <w:proofErr w:type="spellEnd"/>
      <w:r w:rsidRPr="00FA09EB">
        <w:rPr>
          <w:rFonts w:ascii="Times New Roman" w:hAnsi="Times New Roman" w:cs="Times New Roman"/>
          <w:color w:val="293239"/>
          <w:sz w:val="28"/>
          <w:szCs w:val="28"/>
        </w:rPr>
        <w:t xml:space="preserve">: «Бюджетный год завершим успешно» </w:t>
      </w:r>
    </w:p>
    <w:bookmarkEnd w:id="0"/>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Опубликовано: 16.12.2022 20:30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На совместной коллегии Министерства финансов, управлений Федеральной налоговой службы и Федерального казначейства по РТ, состоявшейся 16 декабря, её участники обсудили ожидаемые итоги исполнения консолидированного бюджета республики за 2022 год и задачи финансовых, казначейских, налоговых органов на предстоящий год. В коллегии, которая прошла в Доме Правительства, приняли участие Президент Татарстана Рустам </w:t>
      </w:r>
      <w:proofErr w:type="spellStart"/>
      <w:r w:rsidRPr="00FA09EB">
        <w:rPr>
          <w:rFonts w:ascii="Times New Roman" w:hAnsi="Times New Roman" w:cs="Times New Roman"/>
          <w:color w:val="293239"/>
          <w:sz w:val="28"/>
          <w:szCs w:val="28"/>
        </w:rPr>
        <w:t>Минниханов</w:t>
      </w:r>
      <w:proofErr w:type="spellEnd"/>
      <w:r w:rsidRPr="00FA09EB">
        <w:rPr>
          <w:rFonts w:ascii="Times New Roman" w:hAnsi="Times New Roman" w:cs="Times New Roman"/>
          <w:color w:val="293239"/>
          <w:sz w:val="28"/>
          <w:szCs w:val="28"/>
        </w:rPr>
        <w:t xml:space="preserve">, министр финансов Российской Федерации Антон Силуанов. Об итогах работы и основных направлениях деятельности министерства мы поговорили с министром финансов Татарстана Радиком </w:t>
      </w:r>
      <w:proofErr w:type="spellStart"/>
      <w:r w:rsidRPr="00FA09EB">
        <w:rPr>
          <w:rFonts w:ascii="Times New Roman" w:hAnsi="Times New Roman" w:cs="Times New Roman"/>
          <w:color w:val="293239"/>
          <w:sz w:val="28"/>
          <w:szCs w:val="28"/>
        </w:rPr>
        <w:t>Гайзатуллиным</w:t>
      </w:r>
      <w:proofErr w:type="spellEnd"/>
      <w:r w:rsidRPr="00FA09EB">
        <w:rPr>
          <w:rFonts w:ascii="Times New Roman" w:hAnsi="Times New Roman" w:cs="Times New Roman"/>
          <w:color w:val="293239"/>
          <w:sz w:val="28"/>
          <w:szCs w:val="28"/>
        </w:rPr>
        <w:t>.  </w:t>
      </w:r>
    </w:p>
    <w:p w:rsidR="00FA09EB" w:rsidRPr="00FA09EB" w:rsidRDefault="00FA09EB" w:rsidP="00FA09EB">
      <w:pPr>
        <w:jc w:val="both"/>
        <w:rPr>
          <w:rFonts w:ascii="Times New Roman" w:hAnsi="Times New Roman" w:cs="Times New Roman"/>
          <w:b/>
          <w:color w:val="293239"/>
          <w:sz w:val="28"/>
          <w:szCs w:val="28"/>
        </w:rPr>
      </w:pPr>
      <w:r w:rsidRPr="00FA09EB">
        <w:rPr>
          <w:rFonts w:ascii="Times New Roman" w:hAnsi="Times New Roman" w:cs="Times New Roman"/>
          <w:b/>
          <w:color w:val="293239"/>
          <w:sz w:val="28"/>
          <w:szCs w:val="28"/>
        </w:rPr>
        <w:t xml:space="preserve"> – Радик </w:t>
      </w:r>
      <w:proofErr w:type="spellStart"/>
      <w:r w:rsidRPr="00FA09EB">
        <w:rPr>
          <w:rFonts w:ascii="Times New Roman" w:hAnsi="Times New Roman" w:cs="Times New Roman"/>
          <w:b/>
          <w:color w:val="293239"/>
          <w:sz w:val="28"/>
          <w:szCs w:val="28"/>
        </w:rPr>
        <w:t>Рауфович</w:t>
      </w:r>
      <w:proofErr w:type="spellEnd"/>
      <w:r w:rsidRPr="00FA09EB">
        <w:rPr>
          <w:rFonts w:ascii="Times New Roman" w:hAnsi="Times New Roman" w:cs="Times New Roman"/>
          <w:b/>
          <w:color w:val="293239"/>
          <w:sz w:val="28"/>
          <w:szCs w:val="28"/>
        </w:rPr>
        <w:t>, как принято, декабрь – время подведения итогов и определения перспективных задач. И финансовая система Татарстана здесь не исключение. Что и было сделано на совместной коллегии финансовых, казначейских и налоговых органов рес</w:t>
      </w:r>
      <w:r w:rsidRPr="00FA09EB">
        <w:rPr>
          <w:rFonts w:ascii="Times New Roman" w:hAnsi="Times New Roman" w:cs="Times New Roman"/>
          <w:b/>
          <w:color w:val="293239"/>
          <w:sz w:val="28"/>
          <w:szCs w:val="28"/>
        </w:rPr>
        <w:softHyphen/>
        <w:t xml:space="preserve">публики. Не могли бы вы напомнить основные показатели по исполнению бюджета по доходам?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 По нашим данным, при ожидаемом исполнении в целом на 512 миллиардов рублей налоговые и неналоговые доходы составят 421 миллиард. В бюджет республики поступит 360 миллиардов рублей. Оценка поступлений в местные бюджеты – 61 миллиард рублей. Эти показатели позволяют нам уточнить бюджет в сторону увеличения и говорить об успешном завершении бюджетного года. Конечно, получение дополнительных доходов по итогам года не является самоцелью. Однако оно даёт возможность обеспечить повышение заработной платы бюджетникам, удовлетворить потребности организаций бюджетной сферы, направить дополнительные средства на реализацию национальных проектов, социальных и общественно значимых республиканских программ. Одновременно положительное исполнение позволяет сделать задел для обеспечения финансированием мероприятий следующего года. В связи с этим на коллегии министр финансов Антон Силуанов дал положительную оценку исполнению бюджета республики.   </w:t>
      </w:r>
    </w:p>
    <w:p w:rsidR="00FA09EB" w:rsidRPr="00FA09EB" w:rsidRDefault="00FA09EB" w:rsidP="00FA09EB">
      <w:pPr>
        <w:jc w:val="both"/>
        <w:rPr>
          <w:rFonts w:ascii="Times New Roman" w:hAnsi="Times New Roman" w:cs="Times New Roman"/>
          <w:b/>
          <w:color w:val="293239"/>
          <w:sz w:val="28"/>
          <w:szCs w:val="28"/>
        </w:rPr>
      </w:pPr>
      <w:r w:rsidRPr="00FA09EB">
        <w:rPr>
          <w:rFonts w:ascii="Times New Roman" w:hAnsi="Times New Roman" w:cs="Times New Roman"/>
          <w:b/>
          <w:color w:val="293239"/>
          <w:sz w:val="28"/>
          <w:szCs w:val="28"/>
        </w:rPr>
        <w:t xml:space="preserve">– Как известно, основной налог бюджета Татарстана – на прибыль. В своём докладе на коллегии вы заявили, что его поступления по году ожидаются в сумме 163 миллиарда рублей. Что скажете о его динамике по итогам года?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 Минфин Татарстана уделяет серьёзное внимание ожидаемому поступлению по налогу на прибыль. Нами проанализирована деятельность крупнейших налогоплательщиков, занимающих около 60 процентов в поступлениях </w:t>
      </w:r>
      <w:r w:rsidRPr="00FA09EB">
        <w:rPr>
          <w:rFonts w:ascii="Times New Roman" w:hAnsi="Times New Roman" w:cs="Times New Roman"/>
          <w:color w:val="293239"/>
          <w:sz w:val="28"/>
          <w:szCs w:val="28"/>
        </w:rPr>
        <w:lastRenderedPageBreak/>
        <w:t xml:space="preserve">налога. И всё свидетельствует о том, что по итогам года в основном будет обеспечен его рост.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Предвосхищая вопрос о поступлениях налога на доходы физических лиц, отмечу, что по итогам года ожидается его мобилизация в размере 111 миллиардов рублей. Динамика поступления этого налога положительная.   </w:t>
      </w:r>
    </w:p>
    <w:p w:rsidR="00FA09EB" w:rsidRPr="00FA09EB" w:rsidRDefault="00FA09EB" w:rsidP="00FA09EB">
      <w:pPr>
        <w:jc w:val="both"/>
        <w:rPr>
          <w:rFonts w:ascii="Times New Roman" w:hAnsi="Times New Roman" w:cs="Times New Roman"/>
          <w:b/>
          <w:color w:val="293239"/>
          <w:sz w:val="28"/>
          <w:szCs w:val="28"/>
        </w:rPr>
      </w:pPr>
      <w:r w:rsidRPr="00FA09EB">
        <w:rPr>
          <w:rFonts w:ascii="Times New Roman" w:hAnsi="Times New Roman" w:cs="Times New Roman"/>
          <w:b/>
          <w:color w:val="293239"/>
          <w:sz w:val="28"/>
          <w:szCs w:val="28"/>
        </w:rPr>
        <w:t xml:space="preserve">– Закон о республиканском бюджете на 2022 год и плановый период 2023–2024 годов подписан Президентом Татарстана 23 ноября и опубликован в средствах массовой информации. Какие меры принимаются на данном этапе работы?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 В бюджетную систему республики входят 956 местных бюджетов. На сегодняшний день во всех муниципальных районах и городских округах местные бюджеты приняты. Бюджеты поселений утверждены в большинстве муниципальных образований. Оставшимся муниципалитетам необходимо завершить их утверждение до 20 декабря. Далее в кратчайшие сроки необходимо опубликовать бюджеты муниципальных образований с целью своевременной подготовки бюджетной росписи и организации бюджетного процесса с начала 2023 года.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Подчеркну, что одна из основных задач – обеспечить в течение года максимальную сбалансированность бюджетов всех уровней. На её выполнении необходимо максимально сконцентрировать наше внимание в связи с тем, что бюджет 2023 года ожидается напряжённым.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Пользуясь случаем, хочу поблагодарить всех участников бюджетного процесса – министерства, ведомства, муниципальные образования – за обеспечение в течение текущего года финансово-бюджетной дисциплины.   </w:t>
      </w:r>
    </w:p>
    <w:p w:rsidR="00FA09EB" w:rsidRPr="00FA09EB" w:rsidRDefault="00FA09EB" w:rsidP="00FA09EB">
      <w:pPr>
        <w:jc w:val="both"/>
        <w:rPr>
          <w:rFonts w:ascii="Times New Roman" w:hAnsi="Times New Roman" w:cs="Times New Roman"/>
          <w:b/>
          <w:color w:val="293239"/>
          <w:sz w:val="28"/>
          <w:szCs w:val="28"/>
        </w:rPr>
      </w:pPr>
      <w:r w:rsidRPr="00FA09EB">
        <w:rPr>
          <w:rFonts w:ascii="Times New Roman" w:hAnsi="Times New Roman" w:cs="Times New Roman"/>
          <w:b/>
          <w:color w:val="293239"/>
          <w:sz w:val="28"/>
          <w:szCs w:val="28"/>
        </w:rPr>
        <w:t xml:space="preserve">– Совсем скоро конец финансового года. На чём сейчас нужно сосредоточиться?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 Завершение года не повод расслабляться, потому что эффективный контроль – залог успеха. В оставшиеся дни нам совместно с министерствами, районами и городами необходимо обеспечить качественное исполнение бюджета текущего года, усилить работу по сбору доходов, максимально сократить задолженность по налогам, провести работу по мобилизации имущественных налогов по мере поступления уведомлений, наиболее рационально и эффективно использовать средства расходной части, включая бюджетные и внебюджетные источники, обеспечить эффективное и полное использование федеральных и республиканских средств. Результатом этих мероприятий должно стать завершение года без долгов, полное и эффективное освоение бюджетных средств.   </w:t>
      </w:r>
    </w:p>
    <w:p w:rsidR="00FA09EB" w:rsidRPr="00FA09EB" w:rsidRDefault="00FA09EB" w:rsidP="00FA09EB">
      <w:pPr>
        <w:jc w:val="both"/>
        <w:rPr>
          <w:rFonts w:ascii="Times New Roman" w:hAnsi="Times New Roman" w:cs="Times New Roman"/>
          <w:b/>
          <w:color w:val="293239"/>
          <w:sz w:val="28"/>
          <w:szCs w:val="28"/>
        </w:rPr>
      </w:pPr>
      <w:r w:rsidRPr="00FA09EB">
        <w:rPr>
          <w:rFonts w:ascii="Times New Roman" w:hAnsi="Times New Roman" w:cs="Times New Roman"/>
          <w:b/>
          <w:color w:val="293239"/>
          <w:sz w:val="28"/>
          <w:szCs w:val="28"/>
        </w:rPr>
        <w:lastRenderedPageBreak/>
        <w:t xml:space="preserve">– Какие меры были предприняты в Министерстве финансов республики по противодействию коррупции в 2022 году?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 Мероприятия в течение года проводились в двух направлениях.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Первое – это профилактические, разъяснительные и образовательные мероприятия. Второе – контрольно-ревизионная деятельность.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Подразделениями Департамента казначейства Министерства финансов Татарстана за одиннадцать месяцев этого года проведено 238 проверок целевого, эффективного использования бюджетных средств и соблюдения законодательства о контрактной системе и противодействии коррупции.   </w:t>
      </w:r>
    </w:p>
    <w:p w:rsidR="00FA09EB" w:rsidRPr="00FA09EB" w:rsidRDefault="00FA09EB" w:rsidP="00FA09EB">
      <w:pPr>
        <w:jc w:val="both"/>
        <w:rPr>
          <w:rFonts w:ascii="Times New Roman" w:hAnsi="Times New Roman" w:cs="Times New Roman"/>
          <w:b/>
          <w:color w:val="293239"/>
          <w:sz w:val="28"/>
          <w:szCs w:val="28"/>
        </w:rPr>
      </w:pPr>
      <w:r w:rsidRPr="00FA09EB">
        <w:rPr>
          <w:rFonts w:ascii="Times New Roman" w:hAnsi="Times New Roman" w:cs="Times New Roman"/>
          <w:b/>
          <w:color w:val="293239"/>
          <w:sz w:val="28"/>
          <w:szCs w:val="28"/>
        </w:rPr>
        <w:t xml:space="preserve">– Вы говорили, что государственный долг республики по итогам 2022 года ожидается на уровне 106 миллиардов рублей. Объём долга не только не уменьшился, а стал даже больше. Чем это вызвано?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 Для начала скажу, что в текущем году мы по-прежнему не имеем долгов по коммерческим заимствованиям. Увеличение же объёма долга по сравнению с началом текущего года происходит в связи с привлечением инфраструктурных кредитов из федерального бюджета. Что касается в целом кредитов из федерального бюджета, то по итогам текущего года объём долга составит 100 миллиардов рублей. Он реструктуризирован на долгосрочный период и имеет длительные сроки погашения.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Также отмечу, что Татарстан своевременно выполняет обязательства по осуществлению процентных платежей за пользование привлечёнными средствами. По итогам года все показатели, установленные в соглашениях с Минфином России в рамках привлечения федеральных кредитов, будут достигнуты.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В заключение подчеркну, что бюджетные показатели по итогам 2022 года будут выполнены, расходы бюджета полностью профинансированы, контроль за освоением бюджетных средств будет осуществляться в постоянном режиме. Далее мы плавно должны перейти к исполнению принятого бюджета следующего года. Приоритетная задача одна – своевременное и качественное финансирование всех бюджетных расходов.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 xml:space="preserve">На этой оптимистичной ноте хочу поздравить редакцию и читателей с наступающим Новым годом! Пусть удача, здоровье и неиссякаемая энергия сопутствуют вам во всех начинаниях.  </w:t>
      </w:r>
    </w:p>
    <w:p w:rsidR="00FA09EB" w:rsidRDefault="00FA09EB" w:rsidP="00FA09EB">
      <w:pPr>
        <w:jc w:val="both"/>
        <w:rPr>
          <w:rFonts w:ascii="Times New Roman" w:hAnsi="Times New Roman" w:cs="Times New Roman"/>
          <w:color w:val="293239"/>
          <w:sz w:val="28"/>
          <w:szCs w:val="28"/>
        </w:rPr>
      </w:pPr>
      <w:r w:rsidRPr="00FA09EB">
        <w:rPr>
          <w:rFonts w:ascii="Times New Roman" w:hAnsi="Times New Roman" w:cs="Times New Roman"/>
          <w:color w:val="293239"/>
          <w:sz w:val="28"/>
          <w:szCs w:val="28"/>
        </w:rPr>
        <w:t>Автор статьи: МАЛЬЦЕВ Александр Выпуск: №188 (29344)</w:t>
      </w:r>
    </w:p>
    <w:p w:rsidR="00A90AC8" w:rsidRPr="00FA09EB" w:rsidRDefault="00FA09EB" w:rsidP="00FA09EB">
      <w:pPr>
        <w:jc w:val="both"/>
        <w:rPr>
          <w:rFonts w:ascii="Times New Roman" w:hAnsi="Times New Roman" w:cs="Times New Roman"/>
          <w:sz w:val="28"/>
          <w:szCs w:val="28"/>
        </w:rPr>
      </w:pPr>
      <w:r w:rsidRPr="00FA09EB">
        <w:rPr>
          <w:rFonts w:ascii="Times New Roman" w:hAnsi="Times New Roman" w:cs="Times New Roman"/>
          <w:color w:val="293239"/>
          <w:sz w:val="28"/>
          <w:szCs w:val="28"/>
        </w:rPr>
        <w:t>Источник: </w:t>
      </w:r>
      <w:hyperlink r:id="rId4" w:history="1">
        <w:r w:rsidRPr="00FA09EB">
          <w:rPr>
            <w:rStyle w:val="a3"/>
            <w:rFonts w:ascii="Times New Roman" w:hAnsi="Times New Roman" w:cs="Times New Roman"/>
            <w:color w:val="952A2E"/>
            <w:sz w:val="28"/>
            <w:szCs w:val="28"/>
          </w:rPr>
          <w:t>https://rt-online.ru/radik-gajzatullin-byudzhetnyj-god-zavershim-uspeshno-2/</w:t>
        </w:r>
      </w:hyperlink>
      <w:r w:rsidRPr="00FA09EB">
        <w:rPr>
          <w:rFonts w:ascii="Times New Roman" w:hAnsi="Times New Roman" w:cs="Times New Roman"/>
          <w:color w:val="293239"/>
          <w:sz w:val="28"/>
          <w:szCs w:val="28"/>
        </w:rPr>
        <w:br/>
        <w:t>© Газета Республика Татарстан</w:t>
      </w:r>
    </w:p>
    <w:sectPr w:rsidR="00A90AC8" w:rsidRPr="00FA0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EB"/>
    <w:rsid w:val="00A90AC8"/>
    <w:rsid w:val="00FA0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A5B1"/>
  <w15:chartTrackingRefBased/>
  <w15:docId w15:val="{D8E1CBAC-7001-46FA-8B77-3CEC2364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0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t-online.ru/radik-gajzatullin-byudzhetnyj-god-zavershim-uspeshn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Гулюза Гимадиева</dc:creator>
  <cp:keywords/>
  <dc:description/>
  <cp:lastModifiedBy>Гулюза Гимадиева</cp:lastModifiedBy>
  <cp:revision>1</cp:revision>
  <dcterms:created xsi:type="dcterms:W3CDTF">2022-12-19T07:46:00Z</dcterms:created>
  <dcterms:modified xsi:type="dcterms:W3CDTF">2022-12-19T07:50:00Z</dcterms:modified>
</cp:coreProperties>
</file>