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DA6B5A" w:rsidRDefault="00DA6B5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P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CF2F76" w:rsidRDefault="00CF2F76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608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p w:rsidR="00E366F4" w:rsidRDefault="00E366F4" w:rsidP="00E366F4">
      <w:pPr>
        <w:pStyle w:val="2"/>
        <w:spacing w:line="276" w:lineRule="auto"/>
      </w:pPr>
    </w:p>
    <w:p w:rsidR="009C7BE2" w:rsidRDefault="00E366F4" w:rsidP="00CF2F76">
      <w:pPr>
        <w:pStyle w:val="2"/>
        <w:spacing w:line="360" w:lineRule="auto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2208D8">
        <w:t xml:space="preserve">09 октября </w:t>
      </w:r>
      <w:r w:rsidR="00F578B0">
        <w:t xml:space="preserve"> </w:t>
      </w:r>
      <w:r>
        <w:t>201</w:t>
      </w:r>
      <w:r w:rsidR="00DA6B5A">
        <w:t>5</w:t>
      </w:r>
      <w:r>
        <w:t xml:space="preserve"> года на право быть включенным в кадровый резерв</w:t>
      </w:r>
      <w:r w:rsidR="009C7BE2">
        <w:t>:</w:t>
      </w:r>
    </w:p>
    <w:p w:rsidR="002208D8" w:rsidRDefault="00DC7BC2" w:rsidP="00CF2F76">
      <w:pPr>
        <w:pStyle w:val="3"/>
        <w:spacing w:after="0" w:line="360" w:lineRule="auto"/>
        <w:jc w:val="both"/>
        <w:rPr>
          <w:sz w:val="28"/>
          <w:szCs w:val="28"/>
        </w:rPr>
      </w:pPr>
      <w:r>
        <w:t xml:space="preserve"> </w:t>
      </w:r>
      <w:r>
        <w:tab/>
      </w:r>
      <w:proofErr w:type="gramStart"/>
      <w:r w:rsidRPr="00DC7BC2">
        <w:rPr>
          <w:sz w:val="28"/>
          <w:szCs w:val="28"/>
        </w:rPr>
        <w:t xml:space="preserve">ведущей группы должностей </w:t>
      </w:r>
      <w:r w:rsidR="002208D8">
        <w:rPr>
          <w:sz w:val="28"/>
          <w:szCs w:val="28"/>
        </w:rPr>
        <w:t xml:space="preserve">отдела исполнения бюджета </w:t>
      </w:r>
      <w:r w:rsidRPr="00DC7BC2">
        <w:rPr>
          <w:sz w:val="28"/>
          <w:szCs w:val="28"/>
        </w:rPr>
        <w:t xml:space="preserve">Департамента казначейства Министерства финансов Республики Татарстан, </w:t>
      </w:r>
      <w:r w:rsidR="002208D8">
        <w:rPr>
          <w:sz w:val="28"/>
          <w:szCs w:val="28"/>
        </w:rPr>
        <w:t xml:space="preserve">отдела экономической экспертизы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2208D8">
        <w:rPr>
          <w:sz w:val="28"/>
          <w:szCs w:val="28"/>
        </w:rPr>
        <w:t xml:space="preserve"> отдела оперативного контроля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2208D8">
        <w:rPr>
          <w:sz w:val="28"/>
          <w:szCs w:val="28"/>
        </w:rPr>
        <w:t xml:space="preserve"> отдела учета и отчетности республиканского бюджета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2208D8">
        <w:rPr>
          <w:sz w:val="28"/>
          <w:szCs w:val="28"/>
        </w:rPr>
        <w:t xml:space="preserve"> отдела анализа и стратегии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2208D8">
        <w:rPr>
          <w:sz w:val="28"/>
          <w:szCs w:val="28"/>
        </w:rPr>
        <w:t xml:space="preserve"> отдела финансирования программ дорожного строительства </w:t>
      </w:r>
      <w:r w:rsidR="002208D8" w:rsidRPr="00DC7BC2">
        <w:rPr>
          <w:sz w:val="28"/>
          <w:szCs w:val="28"/>
        </w:rPr>
        <w:t>Департамента казначейства Министерств</w:t>
      </w:r>
      <w:r w:rsidR="002208D8">
        <w:rPr>
          <w:sz w:val="28"/>
          <w:szCs w:val="28"/>
        </w:rPr>
        <w:t>а</w:t>
      </w:r>
      <w:proofErr w:type="gramEnd"/>
      <w:r w:rsidR="002208D8">
        <w:rPr>
          <w:sz w:val="28"/>
          <w:szCs w:val="28"/>
        </w:rPr>
        <w:t xml:space="preserve"> финансов Республики Татарстан;</w:t>
      </w:r>
    </w:p>
    <w:p w:rsidR="009468CC" w:rsidRDefault="00DC7BC2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C7BC2">
        <w:rPr>
          <w:sz w:val="28"/>
          <w:szCs w:val="28"/>
        </w:rPr>
        <w:t xml:space="preserve">старшей группы должностей отдела </w:t>
      </w:r>
      <w:r w:rsidR="002208D8">
        <w:rPr>
          <w:sz w:val="28"/>
          <w:szCs w:val="28"/>
        </w:rPr>
        <w:t xml:space="preserve">экономической экспертизы </w:t>
      </w:r>
      <w:r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2208D8">
        <w:rPr>
          <w:sz w:val="28"/>
          <w:szCs w:val="28"/>
        </w:rPr>
        <w:t xml:space="preserve">, отдела учета и отчетности </w:t>
      </w:r>
      <w:r w:rsidR="002208D8" w:rsidRPr="00DC7BC2">
        <w:rPr>
          <w:sz w:val="28"/>
          <w:szCs w:val="28"/>
        </w:rPr>
        <w:t xml:space="preserve">территориального отделения Департамента казначейства Министерства финансов Республики Татарстан </w:t>
      </w:r>
      <w:r w:rsidR="002208D8">
        <w:rPr>
          <w:sz w:val="28"/>
          <w:szCs w:val="28"/>
        </w:rPr>
        <w:t xml:space="preserve">Арского района </w:t>
      </w:r>
      <w:r w:rsidR="009468CC" w:rsidRPr="00DC7BC2">
        <w:rPr>
          <w:sz w:val="28"/>
          <w:szCs w:val="28"/>
        </w:rPr>
        <w:t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 включение</w:t>
      </w:r>
      <w:proofErr w:type="gramEnd"/>
      <w:r w:rsidR="009468CC" w:rsidRPr="00DC7BC2">
        <w:rPr>
          <w:sz w:val="28"/>
          <w:szCs w:val="28"/>
        </w:rPr>
        <w:t xml:space="preserve"> в кадровый резерв на ведущую группу должностей </w:t>
      </w:r>
      <w:proofErr w:type="gramStart"/>
      <w:r w:rsidR="009468CC" w:rsidRPr="00DC7BC2">
        <w:rPr>
          <w:sz w:val="28"/>
          <w:szCs w:val="28"/>
        </w:rPr>
        <w:t>признаны</w:t>
      </w:r>
      <w:proofErr w:type="gramEnd"/>
      <w:r w:rsidR="009468CC" w:rsidRPr="00DC7BC2">
        <w:rPr>
          <w:sz w:val="28"/>
          <w:szCs w:val="28"/>
        </w:rPr>
        <w:t xml:space="preserve">: 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отдел </w:t>
      </w:r>
      <w:proofErr w:type="gramStart"/>
      <w:r>
        <w:rPr>
          <w:sz w:val="28"/>
          <w:szCs w:val="28"/>
        </w:rPr>
        <w:t xml:space="preserve">исполнения бюджета </w:t>
      </w:r>
      <w:r w:rsidRPr="00DC7BC2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>а финансов Республики</w:t>
      </w:r>
      <w:proofErr w:type="gramEnd"/>
      <w:r>
        <w:rPr>
          <w:sz w:val="28"/>
          <w:szCs w:val="28"/>
        </w:rPr>
        <w:t xml:space="preserve"> Татарстан – Валеева Лариса Владимировна;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отдел</w:t>
      </w:r>
      <w:r>
        <w:rPr>
          <w:sz w:val="28"/>
          <w:szCs w:val="28"/>
        </w:rPr>
        <w:t xml:space="preserve"> экономической </w:t>
      </w:r>
      <w:proofErr w:type="gramStart"/>
      <w:r>
        <w:rPr>
          <w:sz w:val="28"/>
          <w:szCs w:val="28"/>
        </w:rPr>
        <w:t xml:space="preserve">экспертизы </w:t>
      </w:r>
      <w:r w:rsidRPr="00DC7BC2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Pr="00DC7BC2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Гайзатуллина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Радиковна</w:t>
      </w:r>
      <w:proofErr w:type="spellEnd"/>
      <w:r>
        <w:rPr>
          <w:sz w:val="28"/>
          <w:szCs w:val="28"/>
        </w:rPr>
        <w:t>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оперативного </w:t>
      </w:r>
      <w:proofErr w:type="gramStart"/>
      <w:r>
        <w:rPr>
          <w:sz w:val="28"/>
          <w:szCs w:val="28"/>
        </w:rPr>
        <w:t xml:space="preserve">контроля </w:t>
      </w:r>
      <w:r w:rsidRPr="00DC7BC2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Pr="00DC7BC2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– Сорокина Вероника Витальевна;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 учета и отчетности республиканского </w:t>
      </w:r>
      <w:proofErr w:type="gramStart"/>
      <w:r>
        <w:rPr>
          <w:sz w:val="28"/>
          <w:szCs w:val="28"/>
        </w:rPr>
        <w:t xml:space="preserve">бюджета </w:t>
      </w:r>
      <w:r w:rsidRPr="00DC7BC2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>а финансов Республики</w:t>
      </w:r>
      <w:proofErr w:type="gramEnd"/>
      <w:r>
        <w:rPr>
          <w:sz w:val="28"/>
          <w:szCs w:val="28"/>
        </w:rPr>
        <w:t xml:space="preserve"> Татарстан – Халилова Ляйсан </w:t>
      </w:r>
      <w:proofErr w:type="spellStart"/>
      <w:r>
        <w:rPr>
          <w:sz w:val="28"/>
          <w:szCs w:val="28"/>
        </w:rPr>
        <w:t>Габделхаковна</w:t>
      </w:r>
      <w:proofErr w:type="spellEnd"/>
      <w:r>
        <w:rPr>
          <w:sz w:val="28"/>
          <w:szCs w:val="28"/>
        </w:rPr>
        <w:t>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86C">
        <w:rPr>
          <w:sz w:val="28"/>
          <w:szCs w:val="28"/>
        </w:rPr>
        <w:t xml:space="preserve">отдел анализа и стратегии </w:t>
      </w:r>
      <w:proofErr w:type="gramStart"/>
      <w:r w:rsidR="0081486C" w:rsidRPr="00DC7BC2">
        <w:rPr>
          <w:sz w:val="28"/>
          <w:szCs w:val="28"/>
        </w:rPr>
        <w:t>Департамента казначейства Министерств</w:t>
      </w:r>
      <w:r w:rsidR="0081486C">
        <w:rPr>
          <w:sz w:val="28"/>
          <w:szCs w:val="28"/>
        </w:rPr>
        <w:t>а финансов Республики</w:t>
      </w:r>
      <w:proofErr w:type="gramEnd"/>
      <w:r w:rsidR="0081486C">
        <w:rPr>
          <w:sz w:val="28"/>
          <w:szCs w:val="28"/>
        </w:rPr>
        <w:t xml:space="preserve"> Татарстан – </w:t>
      </w:r>
      <w:proofErr w:type="spellStart"/>
      <w:r w:rsidR="0081486C">
        <w:rPr>
          <w:sz w:val="28"/>
          <w:szCs w:val="28"/>
        </w:rPr>
        <w:t>Газизов</w:t>
      </w:r>
      <w:proofErr w:type="spellEnd"/>
      <w:r w:rsidR="0081486C">
        <w:rPr>
          <w:sz w:val="28"/>
          <w:szCs w:val="28"/>
        </w:rPr>
        <w:t xml:space="preserve"> Айдар </w:t>
      </w:r>
      <w:proofErr w:type="spellStart"/>
      <w:r w:rsidR="0081486C">
        <w:rPr>
          <w:sz w:val="28"/>
          <w:szCs w:val="28"/>
        </w:rPr>
        <w:t>Салимзянович</w:t>
      </w:r>
      <w:proofErr w:type="spellEnd"/>
      <w:r w:rsidR="0081486C">
        <w:rPr>
          <w:sz w:val="28"/>
          <w:szCs w:val="28"/>
        </w:rPr>
        <w:t>;</w:t>
      </w:r>
    </w:p>
    <w:p w:rsidR="00CF2F76" w:rsidRPr="0081486C" w:rsidRDefault="0081486C" w:rsidP="0081486C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 xml:space="preserve">финансирования программ дорожного строительства </w:t>
      </w:r>
      <w:r w:rsidRPr="00DC7BC2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>а финансов Республики</w:t>
      </w:r>
      <w:proofErr w:type="gramEnd"/>
      <w:r>
        <w:rPr>
          <w:sz w:val="28"/>
          <w:szCs w:val="28"/>
        </w:rPr>
        <w:t xml:space="preserve"> Татарстан – Каримов Тагир Равилевич.</w:t>
      </w:r>
    </w:p>
    <w:p w:rsidR="00F97183" w:rsidRPr="008C4608" w:rsidRDefault="00F97183" w:rsidP="00CF2F76">
      <w:pPr>
        <w:pStyle w:val="2"/>
        <w:spacing w:line="360" w:lineRule="auto"/>
        <w:ind w:firstLine="709"/>
      </w:pPr>
      <w:r w:rsidRPr="008C4608">
        <w:t xml:space="preserve">на старшую группу должностей </w:t>
      </w:r>
      <w:proofErr w:type="gramStart"/>
      <w:r w:rsidRPr="008C4608">
        <w:t>признаны</w:t>
      </w:r>
      <w:proofErr w:type="gramEnd"/>
      <w:r w:rsidRPr="008C4608">
        <w:t xml:space="preserve">: </w:t>
      </w:r>
    </w:p>
    <w:p w:rsidR="009468CC" w:rsidRDefault="008C4608" w:rsidP="00CF2F76">
      <w:pPr>
        <w:pStyle w:val="2"/>
        <w:spacing w:line="360" w:lineRule="auto"/>
        <w:ind w:firstLine="708"/>
      </w:pPr>
      <w:r w:rsidRPr="008C4608">
        <w:t xml:space="preserve">- отдел </w:t>
      </w:r>
      <w:r w:rsidR="0081486C">
        <w:t xml:space="preserve">экономической </w:t>
      </w:r>
      <w:proofErr w:type="gramStart"/>
      <w:r w:rsidR="0081486C">
        <w:t xml:space="preserve">экспертизы </w:t>
      </w:r>
      <w:r w:rsidRPr="008C4608">
        <w:t xml:space="preserve"> Департамента казначейства Министерства финансов Республики</w:t>
      </w:r>
      <w:proofErr w:type="gramEnd"/>
      <w:r w:rsidRPr="008C4608">
        <w:t xml:space="preserve"> Татарстан  – </w:t>
      </w:r>
      <w:proofErr w:type="spellStart"/>
      <w:r w:rsidR="0081486C">
        <w:t>Галявеев</w:t>
      </w:r>
      <w:proofErr w:type="spellEnd"/>
      <w:r w:rsidR="0081486C">
        <w:t xml:space="preserve"> </w:t>
      </w:r>
      <w:proofErr w:type="spellStart"/>
      <w:r w:rsidR="0081486C">
        <w:t>Рамиль</w:t>
      </w:r>
      <w:proofErr w:type="spellEnd"/>
      <w:r w:rsidR="0081486C">
        <w:t xml:space="preserve"> </w:t>
      </w:r>
      <w:proofErr w:type="spellStart"/>
      <w:r w:rsidR="0081486C">
        <w:t>Айдарович</w:t>
      </w:r>
      <w:proofErr w:type="spellEnd"/>
      <w:r w:rsidR="00FC7841">
        <w:t>;</w:t>
      </w:r>
    </w:p>
    <w:p w:rsidR="0081486C" w:rsidRDefault="0081486C" w:rsidP="00CF2F76">
      <w:pPr>
        <w:pStyle w:val="2"/>
        <w:spacing w:line="360" w:lineRule="auto"/>
        <w:ind w:firstLine="708"/>
      </w:pPr>
      <w:r>
        <w:t xml:space="preserve">- </w:t>
      </w:r>
      <w:r>
        <w:t xml:space="preserve">отдела учета и отчетности </w:t>
      </w:r>
      <w:r w:rsidRPr="00DC7BC2">
        <w:t xml:space="preserve">территориального </w:t>
      </w:r>
      <w:proofErr w:type="gramStart"/>
      <w:r w:rsidRPr="00DC7BC2">
        <w:t>отделения Департамента казначейства Министерства финансов Республики</w:t>
      </w:r>
      <w:proofErr w:type="gramEnd"/>
      <w:r w:rsidRPr="00DC7BC2">
        <w:t xml:space="preserve"> Татарстан </w:t>
      </w:r>
      <w:r>
        <w:t>Арского района</w:t>
      </w:r>
      <w:r>
        <w:t xml:space="preserve"> – </w:t>
      </w:r>
      <w:proofErr w:type="spellStart"/>
      <w:r>
        <w:t>Нигматуллин</w:t>
      </w:r>
      <w:proofErr w:type="spellEnd"/>
      <w:r>
        <w:t xml:space="preserve"> </w:t>
      </w:r>
      <w:proofErr w:type="spellStart"/>
      <w:r>
        <w:t>Рузаль</w:t>
      </w:r>
      <w:proofErr w:type="spellEnd"/>
      <w:r>
        <w:t xml:space="preserve"> </w:t>
      </w:r>
      <w:proofErr w:type="spellStart"/>
      <w:r>
        <w:t>Искандерович</w:t>
      </w:r>
      <w:proofErr w:type="spellEnd"/>
      <w:r>
        <w:t>.</w:t>
      </w:r>
    </w:p>
    <w:p w:rsidR="00FC7841" w:rsidRDefault="00FC7841" w:rsidP="00CF2F76">
      <w:pPr>
        <w:pStyle w:val="2"/>
        <w:spacing w:line="360" w:lineRule="auto"/>
        <w:ind w:firstLine="708"/>
      </w:pPr>
    </w:p>
    <w:p w:rsidR="00E366F4" w:rsidRDefault="00E366F4" w:rsidP="0081486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E366F4" w:rsidRDefault="00E366F4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C4608" w:rsidRDefault="008C4608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66F4" w:rsidRDefault="00E366F4" w:rsidP="00E366F4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конкурсной, </w:t>
      </w:r>
    </w:p>
    <w:p w:rsidR="00444AC9" w:rsidRPr="00BC7A0B" w:rsidRDefault="00E366F4" w:rsidP="00803A80">
      <w:pPr>
        <w:shd w:val="clear" w:color="auto" w:fill="FFFFFF"/>
        <w:spacing w:line="276" w:lineRule="auto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</w:t>
      </w: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85" w:rsidRDefault="00ED1B85">
      <w:r>
        <w:separator/>
      </w:r>
    </w:p>
  </w:endnote>
  <w:endnote w:type="continuationSeparator" w:id="0">
    <w:p w:rsidR="00ED1B85" w:rsidRDefault="00ED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85" w:rsidRDefault="00ED1B85">
      <w:r>
        <w:separator/>
      </w:r>
    </w:p>
  </w:footnote>
  <w:footnote w:type="continuationSeparator" w:id="0">
    <w:p w:rsidR="00ED1B85" w:rsidRDefault="00ED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81486C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16C"/>
    <w:rsid w:val="001C11EA"/>
    <w:rsid w:val="001D3994"/>
    <w:rsid w:val="001D6C47"/>
    <w:rsid w:val="002208D8"/>
    <w:rsid w:val="00233601"/>
    <w:rsid w:val="00237B18"/>
    <w:rsid w:val="0024424F"/>
    <w:rsid w:val="00270E02"/>
    <w:rsid w:val="00286D3A"/>
    <w:rsid w:val="002910A4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40749"/>
    <w:rsid w:val="00440A02"/>
    <w:rsid w:val="00444AC9"/>
    <w:rsid w:val="00477809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DAF"/>
    <w:rsid w:val="006B71AD"/>
    <w:rsid w:val="006C01D6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803A80"/>
    <w:rsid w:val="008050E4"/>
    <w:rsid w:val="0081486C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C4608"/>
    <w:rsid w:val="008E199E"/>
    <w:rsid w:val="008F709A"/>
    <w:rsid w:val="00907BFD"/>
    <w:rsid w:val="009104EA"/>
    <w:rsid w:val="00915278"/>
    <w:rsid w:val="00932646"/>
    <w:rsid w:val="009468CC"/>
    <w:rsid w:val="009670E6"/>
    <w:rsid w:val="0097551A"/>
    <w:rsid w:val="009A47DE"/>
    <w:rsid w:val="009A52C8"/>
    <w:rsid w:val="009B382E"/>
    <w:rsid w:val="009C7BE2"/>
    <w:rsid w:val="009D3F40"/>
    <w:rsid w:val="009E45DB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1B85"/>
    <w:rsid w:val="00ED3C18"/>
    <w:rsid w:val="00EF3281"/>
    <w:rsid w:val="00F06AB5"/>
    <w:rsid w:val="00F248A4"/>
    <w:rsid w:val="00F24A98"/>
    <w:rsid w:val="00F34C71"/>
    <w:rsid w:val="00F40E02"/>
    <w:rsid w:val="00F56591"/>
    <w:rsid w:val="00F578B0"/>
    <w:rsid w:val="00F91897"/>
    <w:rsid w:val="00F941BA"/>
    <w:rsid w:val="00F97183"/>
    <w:rsid w:val="00FA755F"/>
    <w:rsid w:val="00FC1E2F"/>
    <w:rsid w:val="00FC41CD"/>
    <w:rsid w:val="00FC7841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3393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2</cp:revision>
  <cp:lastPrinted>2014-09-19T11:51:00Z</cp:lastPrinted>
  <dcterms:created xsi:type="dcterms:W3CDTF">2015-10-09T12:39:00Z</dcterms:created>
  <dcterms:modified xsi:type="dcterms:W3CDTF">2015-10-09T12:39:00Z</dcterms:modified>
</cp:coreProperties>
</file>