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032" w:rsidRPr="00293032" w:rsidRDefault="00293032" w:rsidP="00293032">
      <w:pPr>
        <w:pBdr>
          <w:bottom w:val="single" w:sz="6" w:space="5" w:color="DADADA"/>
        </w:pBdr>
        <w:shd w:val="clear" w:color="auto" w:fill="FFFFFF"/>
        <w:spacing w:after="96" w:line="240" w:lineRule="auto"/>
        <w:jc w:val="both"/>
        <w:textAlignment w:val="baseline"/>
        <w:outlineLvl w:val="0"/>
        <w:rPr>
          <w:rFonts w:ascii="Roboto" w:eastAsia="Times New Roman" w:hAnsi="Roboto" w:cs="Segoe UI"/>
          <w:b/>
          <w:bCs/>
          <w:color w:val="212121"/>
          <w:spacing w:val="-10"/>
          <w:kern w:val="36"/>
          <w:sz w:val="28"/>
          <w:szCs w:val="28"/>
          <w:lang w:eastAsia="ru-RU"/>
        </w:rPr>
      </w:pPr>
      <w:bookmarkStart w:id="0" w:name="_GoBack"/>
      <w:r w:rsidRPr="00293032">
        <w:rPr>
          <w:rFonts w:ascii="Roboto" w:eastAsia="Times New Roman" w:hAnsi="Roboto" w:cs="Segoe UI"/>
          <w:b/>
          <w:bCs/>
          <w:color w:val="212121"/>
          <w:spacing w:val="-10"/>
          <w:kern w:val="36"/>
          <w:sz w:val="28"/>
          <w:szCs w:val="28"/>
          <w:lang w:eastAsia="ru-RU"/>
        </w:rPr>
        <w:t xml:space="preserve">Радик </w:t>
      </w:r>
      <w:proofErr w:type="spellStart"/>
      <w:r w:rsidRPr="00293032">
        <w:rPr>
          <w:rFonts w:ascii="Roboto" w:eastAsia="Times New Roman" w:hAnsi="Roboto" w:cs="Segoe UI"/>
          <w:b/>
          <w:bCs/>
          <w:color w:val="212121"/>
          <w:spacing w:val="-10"/>
          <w:kern w:val="36"/>
          <w:sz w:val="28"/>
          <w:szCs w:val="28"/>
          <w:lang w:eastAsia="ru-RU"/>
        </w:rPr>
        <w:t>Гайзатуллин</w:t>
      </w:r>
      <w:proofErr w:type="spellEnd"/>
      <w:r w:rsidRPr="00293032">
        <w:rPr>
          <w:rFonts w:ascii="Roboto" w:eastAsia="Times New Roman" w:hAnsi="Roboto" w:cs="Segoe UI"/>
          <w:b/>
          <w:bCs/>
          <w:color w:val="212121"/>
          <w:spacing w:val="-10"/>
          <w:kern w:val="36"/>
          <w:sz w:val="28"/>
          <w:szCs w:val="28"/>
          <w:lang w:eastAsia="ru-RU"/>
        </w:rPr>
        <w:t xml:space="preserve">: «Кредит </w:t>
      </w:r>
      <w:proofErr w:type="spellStart"/>
      <w:r w:rsidRPr="00293032">
        <w:rPr>
          <w:rFonts w:ascii="Roboto" w:eastAsia="Times New Roman" w:hAnsi="Roboto" w:cs="Segoe UI"/>
          <w:b/>
          <w:bCs/>
          <w:color w:val="212121"/>
          <w:spacing w:val="-10"/>
          <w:kern w:val="36"/>
          <w:sz w:val="28"/>
          <w:szCs w:val="28"/>
          <w:lang w:eastAsia="ru-RU"/>
        </w:rPr>
        <w:t>рейтинглары</w:t>
      </w:r>
      <w:proofErr w:type="spellEnd"/>
      <w:r w:rsidRPr="00293032">
        <w:rPr>
          <w:rFonts w:ascii="Roboto" w:eastAsia="Times New Roman" w:hAnsi="Roboto" w:cs="Segoe UI"/>
          <w:b/>
          <w:bCs/>
          <w:color w:val="212121"/>
          <w:spacing w:val="-10"/>
          <w:kern w:val="36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b/>
          <w:bCs/>
          <w:color w:val="212121"/>
          <w:spacing w:val="-10"/>
          <w:kern w:val="36"/>
          <w:sz w:val="28"/>
          <w:szCs w:val="28"/>
          <w:lang w:eastAsia="ru-RU"/>
        </w:rPr>
        <w:t>үсешне</w:t>
      </w:r>
      <w:proofErr w:type="spellEnd"/>
      <w:r w:rsidRPr="00293032">
        <w:rPr>
          <w:rFonts w:ascii="Roboto" w:eastAsia="Times New Roman" w:hAnsi="Roboto" w:cs="Segoe UI"/>
          <w:b/>
          <w:bCs/>
          <w:color w:val="212121"/>
          <w:spacing w:val="-10"/>
          <w:kern w:val="36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b/>
          <w:bCs/>
          <w:color w:val="212121"/>
          <w:spacing w:val="-10"/>
          <w:kern w:val="36"/>
          <w:sz w:val="28"/>
          <w:szCs w:val="28"/>
          <w:lang w:eastAsia="ru-RU"/>
        </w:rPr>
        <w:t>бәяли</w:t>
      </w:r>
      <w:proofErr w:type="spellEnd"/>
      <w:r w:rsidRPr="00293032">
        <w:rPr>
          <w:rFonts w:ascii="Roboto" w:eastAsia="Times New Roman" w:hAnsi="Roboto" w:cs="Segoe UI"/>
          <w:b/>
          <w:bCs/>
          <w:color w:val="212121"/>
          <w:spacing w:val="-10"/>
          <w:kern w:val="36"/>
          <w:sz w:val="28"/>
          <w:szCs w:val="28"/>
          <w:lang w:eastAsia="ru-RU"/>
        </w:rPr>
        <w:t>»</w:t>
      </w:r>
    </w:p>
    <w:bookmarkEnd w:id="0"/>
    <w:p w:rsidR="00293032" w:rsidRPr="00293032" w:rsidRDefault="00293032" w:rsidP="0029303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A0A0A0"/>
          <w:sz w:val="28"/>
          <w:szCs w:val="28"/>
          <w:lang w:eastAsia="ru-RU"/>
        </w:rPr>
      </w:pPr>
      <w:r w:rsidRPr="00293032">
        <w:rPr>
          <w:rFonts w:ascii="inherit" w:eastAsia="Times New Roman" w:hAnsi="inherit" w:cs="Segoe UI"/>
          <w:color w:val="A0A0A0"/>
          <w:sz w:val="28"/>
          <w:szCs w:val="28"/>
          <w:lang w:eastAsia="ru-RU"/>
        </w:rPr>
        <w:t> </w:t>
      </w:r>
      <w:hyperlink r:id="rId4" w:history="1">
        <w:r w:rsidRPr="00293032">
          <w:rPr>
            <w:rFonts w:ascii="inherit" w:eastAsia="Times New Roman" w:hAnsi="inherit" w:cs="Segoe UI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19.03.2023</w:t>
        </w:r>
      </w:hyperlink>
    </w:p>
    <w:p w:rsidR="00293032" w:rsidRPr="00293032" w:rsidRDefault="00293032" w:rsidP="0029303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A0A0A0"/>
          <w:sz w:val="28"/>
          <w:szCs w:val="28"/>
          <w:lang w:eastAsia="ru-RU"/>
        </w:rPr>
      </w:pPr>
      <w:r w:rsidRPr="00293032">
        <w:rPr>
          <w:rFonts w:ascii="inherit" w:eastAsia="Times New Roman" w:hAnsi="inherit" w:cs="Segoe UI"/>
          <w:color w:val="A0A0A0"/>
          <w:sz w:val="28"/>
          <w:szCs w:val="28"/>
          <w:lang w:eastAsia="ru-RU"/>
        </w:rPr>
        <w:t> </w:t>
      </w:r>
    </w:p>
    <w:p w:rsidR="00293032" w:rsidRPr="00293032" w:rsidRDefault="00293032" w:rsidP="0029303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A0A0A0"/>
          <w:sz w:val="28"/>
          <w:szCs w:val="28"/>
          <w:lang w:eastAsia="ru-RU"/>
        </w:rPr>
      </w:pPr>
      <w:r w:rsidRPr="00293032">
        <w:rPr>
          <w:rFonts w:ascii="inherit" w:eastAsia="Times New Roman" w:hAnsi="inherit" w:cs="Segoe UI"/>
          <w:color w:val="A0A0A0"/>
          <w:sz w:val="28"/>
          <w:szCs w:val="28"/>
          <w:bdr w:val="none" w:sz="0" w:space="0" w:color="auto" w:frame="1"/>
          <w:lang w:eastAsia="ru-RU"/>
        </w:rPr>
        <w:t>- </w:t>
      </w:r>
      <w:proofErr w:type="spellStart"/>
      <w:r w:rsidRPr="00293032">
        <w:rPr>
          <w:rFonts w:ascii="inherit" w:eastAsia="Times New Roman" w:hAnsi="inherit" w:cs="Segoe UI"/>
          <w:color w:val="A0A0A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293032">
        <w:rPr>
          <w:rFonts w:ascii="inherit" w:eastAsia="Times New Roman" w:hAnsi="inherit" w:cs="Segoe UI"/>
          <w:color w:val="A0A0A0"/>
          <w:sz w:val="28"/>
          <w:szCs w:val="28"/>
          <w:bdr w:val="none" w:sz="0" w:space="0" w:color="auto" w:frame="1"/>
          <w:lang w:eastAsia="ru-RU"/>
        </w:rPr>
        <w:instrText xml:space="preserve"> HYPERLINK "https://vatantat.ru/category/mohim/iktisad/" </w:instrText>
      </w:r>
      <w:r w:rsidRPr="00293032">
        <w:rPr>
          <w:rFonts w:ascii="inherit" w:eastAsia="Times New Roman" w:hAnsi="inherit" w:cs="Segoe UI"/>
          <w:color w:val="A0A0A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293032">
        <w:rPr>
          <w:rFonts w:ascii="inherit" w:eastAsia="Times New Roman" w:hAnsi="inherit" w:cs="Segoe UI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Икътисад</w:t>
      </w:r>
      <w:proofErr w:type="spellEnd"/>
      <w:r w:rsidRPr="00293032">
        <w:rPr>
          <w:rFonts w:ascii="inherit" w:eastAsia="Times New Roman" w:hAnsi="inherit" w:cs="Segoe UI"/>
          <w:color w:val="A0A0A0"/>
          <w:sz w:val="28"/>
          <w:szCs w:val="28"/>
          <w:bdr w:val="none" w:sz="0" w:space="0" w:color="auto" w:frame="1"/>
          <w:lang w:eastAsia="ru-RU"/>
        </w:rPr>
        <w:fldChar w:fldCharType="end"/>
      </w:r>
      <w:r w:rsidRPr="00293032">
        <w:rPr>
          <w:rFonts w:ascii="inherit" w:eastAsia="Times New Roman" w:hAnsi="inherit" w:cs="Segoe UI"/>
          <w:color w:val="A0A0A0"/>
          <w:sz w:val="28"/>
          <w:szCs w:val="28"/>
          <w:bdr w:val="none" w:sz="0" w:space="0" w:color="auto" w:frame="1"/>
          <w:lang w:eastAsia="ru-RU"/>
        </w:rPr>
        <w:t>, </w:t>
      </w:r>
      <w:hyperlink r:id="rId5" w:history="1">
        <w:r w:rsidRPr="00293032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Интервью</w:t>
        </w:r>
      </w:hyperlink>
    </w:p>
    <w:p w:rsidR="00293032" w:rsidRPr="00293032" w:rsidRDefault="00293032" w:rsidP="0029303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color w:val="0073AA"/>
          <w:sz w:val="28"/>
          <w:szCs w:val="28"/>
          <w:bdr w:val="none" w:sz="0" w:space="0" w:color="auto" w:frame="1"/>
          <w:lang w:eastAsia="ru-RU"/>
        </w:rPr>
      </w:pPr>
      <w:r w:rsidRPr="00293032"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  <w:fldChar w:fldCharType="begin"/>
      </w:r>
      <w:r w:rsidRPr="00293032"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  <w:instrText xml:space="preserve"> HYPERLINK "https://vatantat.ru/wp-content/uploads/2023/03/9kgmhyxssafwcoqwwozo.jpg" </w:instrText>
      </w:r>
      <w:r w:rsidRPr="00293032"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  <w:fldChar w:fldCharType="separate"/>
      </w:r>
    </w:p>
    <w:p w:rsidR="00293032" w:rsidRPr="00293032" w:rsidRDefault="00293032" w:rsidP="002930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32">
        <w:rPr>
          <w:rFonts w:ascii="Segoe UI" w:eastAsia="Times New Roman" w:hAnsi="Segoe UI" w:cs="Segoe UI"/>
          <w:noProof/>
          <w:color w:val="0073AA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8BEC0CD" wp14:editId="64AC9E69">
            <wp:extent cx="7143750" cy="4762500"/>
            <wp:effectExtent l="0" t="0" r="0" b="0"/>
            <wp:docPr id="2" name="Рисунок 2" descr="Радик Гайзатуллин: «Кредит рейтинглары үсешне бәяли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ик Гайзатуллин: «Кредит рейтинглары үсешне бәяли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32" w:rsidRPr="00293032" w:rsidRDefault="00293032" w:rsidP="00293032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</w:pPr>
      <w:r w:rsidRPr="00293032"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  <w:fldChar w:fldCharType="end"/>
      </w:r>
    </w:p>
    <w:p w:rsidR="00293032" w:rsidRPr="00293032" w:rsidRDefault="00293032" w:rsidP="00293032">
      <w:pPr>
        <w:shd w:val="clear" w:color="auto" w:fill="FFFFFF"/>
        <w:spacing w:after="0"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Бүгенге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катлаулы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вазгыять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илгә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моңарчы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күрелмәгән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санкцияләр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басымы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шартларында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Татарстан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тотрыклы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үсешен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саклап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кала.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Моны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Россиянең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иң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зур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кредит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агентлыклары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раслады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Шул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уңайдан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«ВТ»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хәбәрчесе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Татарстан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Республикасы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финанс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министры Радик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Гайзатуллин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белән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әңгәмә</w:t>
      </w:r>
      <w:proofErr w:type="spellEnd"/>
      <w:r w:rsidRPr="00293032">
        <w:rPr>
          <w:rFonts w:ascii="inherit" w:eastAsia="Times New Roman" w:hAnsi="inherit" w:cs="Segoe U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корды.</w:t>
      </w:r>
    </w:p>
    <w:p w:rsidR="00293032" w:rsidRPr="00293032" w:rsidRDefault="00293032" w:rsidP="00293032">
      <w:pPr>
        <w:shd w:val="clear" w:color="auto" w:fill="FFFFFF"/>
        <w:spacing w:after="0"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– Радик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Рәүфович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күптән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түгел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генә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Россия рейтинг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агентлыкларының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Татарстан кредит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рейтингларын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югары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бәяләве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турында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хәбәр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ителде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җәһәттән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сезнең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фикерне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дә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беләсе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иде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293032" w:rsidRPr="00293032" w:rsidRDefault="00293032" w:rsidP="00293032">
      <w:pPr>
        <w:shd w:val="clear" w:color="auto" w:fill="FFFFFF"/>
        <w:spacing w:after="300"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–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Чыннан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да, «Эксперт РА»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һәм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«Аналитическое Кредитное Рейтинговое агентство»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агентлыклары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белән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хезмәттәшлекне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дәвам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иттерәбез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һәм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алар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республиканың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кредит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рейтингларын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раслады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lastRenderedPageBreak/>
        <w:t>Әйтергә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кирәк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Россия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Федерациясендә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кулланылучы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шкала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буенча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–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югары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дәрәҗәдә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.</w:t>
      </w:r>
    </w:p>
    <w:p w:rsidR="00293032" w:rsidRPr="00293032" w:rsidRDefault="00293032" w:rsidP="00293032">
      <w:pPr>
        <w:shd w:val="clear" w:color="auto" w:fill="FFFFFF"/>
        <w:spacing w:after="300"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Һичшиксез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бүгенге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вазгыять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гадәти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генә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түгел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Геосәяси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хәлләрнең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кискенләшүе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Россия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Федерациясенә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карата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дустанә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булмаган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чит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илләрнең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санкция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басымы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барлык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төбәкләрнең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икътисадына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йогынты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ясый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Шуңа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карамастан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Татарстан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узган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ел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йомгаклары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буенча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социаль-икътисадый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өлкәне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эзлекле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үстерүгә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иреште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Рейтинг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агентлыклары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билгеләп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үткәнчә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республиканың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кредит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рейтингын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шулай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югары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бәяләүгә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төбәк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икътисадының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узган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елдагы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югары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күрсәткечләре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сәнәгать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һәм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төзелештәге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үсеш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уңай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йогынты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ясаган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.</w:t>
      </w:r>
    </w:p>
    <w:p w:rsidR="00293032" w:rsidRPr="00293032" w:rsidRDefault="00293032" w:rsidP="00293032">
      <w:pPr>
        <w:shd w:val="clear" w:color="auto" w:fill="FFFFFF"/>
        <w:spacing w:after="0"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Мәгълүм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булганча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кредит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рейтингларын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билгеләүдә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дәүләт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бурычы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күләменә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зур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игътибар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бирелә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Татарстан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Республикасы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дәүләт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бурычы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турында</w:t>
      </w:r>
      <w:proofErr w:type="spellEnd"/>
      <w:proofErr w:type="gram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сөйләп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үтсәгез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иде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293032" w:rsidRPr="00293032" w:rsidRDefault="00293032" w:rsidP="00293032">
      <w:pPr>
        <w:shd w:val="clear" w:color="auto" w:fill="FFFFFF"/>
        <w:spacing w:after="300"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–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Әйе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дәүләт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бурычы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күләме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һәм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аны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түләү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мөмкинлеге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республиканың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кредит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рейтингына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төп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йогынты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ясый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Тагын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бер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кат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искә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төшереп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үтәм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: февраль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йомгаклары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буенча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республиканың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дәүләт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бурычы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күләме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103,7 миллиард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сум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тәшкил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итә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Шул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ук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вакытта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gram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95  проценты</w:t>
      </w:r>
      <w:proofErr w:type="gram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–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федераль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бюджеттан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алынган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кредитларга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5 проценты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дәүләт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гарантияләренә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туры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килә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.</w:t>
      </w:r>
    </w:p>
    <w:p w:rsidR="00293032" w:rsidRPr="00293032" w:rsidRDefault="00293032" w:rsidP="00293032">
      <w:pPr>
        <w:shd w:val="clear" w:color="auto" w:fill="FFFFFF"/>
        <w:spacing w:after="300"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Хәзерге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вакытта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Татарстан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банклардан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алынган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кредитлары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һәм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дәүләт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кыйммәтле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кәгазьләре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буенча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бурычлары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ягъни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кыйммәтле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капитал базары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кредитлары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юк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Моны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да рейтинг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агентлыклары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уңай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бәяли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.</w:t>
      </w:r>
    </w:p>
    <w:p w:rsidR="00293032" w:rsidRPr="00293032" w:rsidRDefault="00293032" w:rsidP="00293032">
      <w:pPr>
        <w:shd w:val="clear" w:color="auto" w:fill="FFFFFF"/>
        <w:spacing w:after="300"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Республиканың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дәүләт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бурычы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күләменә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килсәк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аны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федераль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бюджеттан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алынган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керемнәрне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исәпкә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алмыйча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Татарстан бюджеты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керемнәре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күләме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(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узган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елда – 366,6 миллиард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сум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)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белән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чагыштырырга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тәкъдим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итәм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күрсәткечләрнең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нисбәте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28%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чамасы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тәшкил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итә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Россия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Финанс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министрлыгы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бәяләмәсе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буенча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кулай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күрсәткеч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.</w:t>
      </w:r>
    </w:p>
    <w:p w:rsidR="00293032" w:rsidRPr="00293032" w:rsidRDefault="00293032" w:rsidP="00293032">
      <w:pPr>
        <w:shd w:val="clear" w:color="auto" w:fill="FFFFFF"/>
        <w:spacing w:after="300"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Шуны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әйтеп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үтәсем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килә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: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федераль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 бюджет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кредитларын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түләү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вакыты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бик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озын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– 2037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елга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кадәр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Федераль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бюджетка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бурычларны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озак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вакытка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реструктурлаштыру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буенча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2012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елдан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бирле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үткәрелеп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килүче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эш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нәтиҗәсе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Соңгы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шундый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уңай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карарларның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берсе –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lastRenderedPageBreak/>
        <w:t>республиканың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федераль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 бюджет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кредитлары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буенча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бурычының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бер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өлешен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түләү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вакытын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2022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елдан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2029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елга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күчерү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.</w:t>
      </w:r>
    </w:p>
    <w:p w:rsidR="00293032" w:rsidRPr="00293032" w:rsidRDefault="00293032" w:rsidP="00293032">
      <w:pPr>
        <w:shd w:val="clear" w:color="auto" w:fill="FFFFFF"/>
        <w:spacing w:after="300"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Тагын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бер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уңай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күренеш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: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узган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елда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федераль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бюджет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кредитлары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буенча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Татарстан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бурычының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бер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өлешен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(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яңа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инвестицион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проектларны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тормышка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ашырудан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кергән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һәм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федераль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бюджетка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җибәрелгән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 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салым</w:t>
      </w:r>
      <w:proofErr w:type="spellEnd"/>
      <w:proofErr w:type="gram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керемнәре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күләмендә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)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гамәлдән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чыгару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башланды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Шул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рәвешле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1,7 миллиард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сумлык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бурыч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кичерелде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Алга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таба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да республика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бурычын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шул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рәвешле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кичерүнең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дәвам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итәчәгенә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өметләнәбез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.</w:t>
      </w:r>
    </w:p>
    <w:p w:rsidR="00293032" w:rsidRPr="00293032" w:rsidRDefault="00293032" w:rsidP="00293032">
      <w:pPr>
        <w:shd w:val="clear" w:color="auto" w:fill="FFFFFF"/>
        <w:spacing w:after="0"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— Радик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Рәүфович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чыннан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да,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сез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сөйләгәннәрне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бик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уңай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бәяләргә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мөмкин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Ләкин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урында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бер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әйберне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ачыклап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үтәргә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кирәктер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Бездә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капитал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базарына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мөнәсәбәтле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бурычлар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юк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дидегез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Әмма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кемнәрдәдер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шундый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сорау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туарга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мөмкин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капитал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базарыннан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акча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алмыйбыз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икән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Татарстанга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кредит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рейтингы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нигә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кирәк</w:t>
      </w:r>
      <w:proofErr w:type="spellEnd"/>
      <w:r w:rsidRPr="00293032">
        <w:rPr>
          <w:rFonts w:ascii="inherit" w:eastAsia="Times New Roman" w:hAnsi="inherit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293032" w:rsidRPr="00293032" w:rsidRDefault="00293032" w:rsidP="00293032">
      <w:pPr>
        <w:shd w:val="clear" w:color="auto" w:fill="FFFFFF"/>
        <w:spacing w:after="300"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— Кредит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рейтингына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ия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булу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үзмаксат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түгел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Тотрыклы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икътисадый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үсеш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шартларында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республиканы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кредит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рейтингы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агентлыкларының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югары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бәяләве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һичшиксез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төбәгебез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икътисадына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яңа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инвестицияләр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республиканың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зур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предприятиеләренә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чит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илләрдән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дә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финанс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ресурслары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җәлеп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итү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өчен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зур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әһәмияткә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ия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булды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.</w:t>
      </w:r>
    </w:p>
    <w:p w:rsidR="00293032" w:rsidRPr="00293032" w:rsidRDefault="00293032" w:rsidP="00293032">
      <w:pPr>
        <w:shd w:val="clear" w:color="auto" w:fill="FFFFFF"/>
        <w:spacing w:after="300"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Озак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вакыт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дәвамында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кыйммәтле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капитал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базарына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республика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бюджетына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өстәмә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акча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китерү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өчен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мөрәҗәгать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итмәү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җәһәтеннән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шуны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аңлатып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үтәргә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кирәк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: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Татарстанның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икътисадый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үсеше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һәм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бюджет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сәясәте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кыйммәтле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кредитлар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алудан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коткарып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килде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Әлбәттә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моны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рейтинг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агентлыклары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күрми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кала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алмый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.</w:t>
      </w:r>
    </w:p>
    <w:p w:rsidR="00293032" w:rsidRPr="00293032" w:rsidRDefault="00293032" w:rsidP="00293032">
      <w:pPr>
        <w:shd w:val="clear" w:color="auto" w:fill="FFFFFF"/>
        <w:spacing w:line="390" w:lineRule="atLeast"/>
        <w:jc w:val="both"/>
        <w:textAlignment w:val="baseline"/>
        <w:rPr>
          <w:rFonts w:ascii="Roboto" w:eastAsia="Times New Roman" w:hAnsi="Roboto" w:cs="Segoe UI"/>
          <w:color w:val="333333"/>
          <w:sz w:val="28"/>
          <w:szCs w:val="28"/>
          <w:lang w:eastAsia="ru-RU"/>
        </w:rPr>
      </w:pP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Һичшиксез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бүген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икътисадый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өлкәдәге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шул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исәптән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финанс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базарын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үстерү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перспективалары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өлкәсендәге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билгесезлек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шартларында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югары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дәрәҗәдәге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бәяне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тынычрак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кабул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итәргә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кирәк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Икенче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яктан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әлбәттә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билгеле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бер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әһәмияткә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ия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Шул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рәвешле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республиканың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уңай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имиджы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булдырыла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. Ә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бу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алга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таба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республикада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социаль-икътисадый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вазгыятькә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уңай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йогынты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ясаячак</w:t>
      </w:r>
      <w:proofErr w:type="spellEnd"/>
      <w:r w:rsidRPr="00293032">
        <w:rPr>
          <w:rFonts w:ascii="Roboto" w:eastAsia="Times New Roman" w:hAnsi="Roboto" w:cs="Segoe UI"/>
          <w:color w:val="333333"/>
          <w:sz w:val="28"/>
          <w:szCs w:val="28"/>
          <w:lang w:eastAsia="ru-RU"/>
        </w:rPr>
        <w:t>.</w:t>
      </w:r>
    </w:p>
    <w:p w:rsidR="006C27CF" w:rsidRPr="00293032" w:rsidRDefault="006C27CF" w:rsidP="00293032">
      <w:pPr>
        <w:jc w:val="both"/>
        <w:rPr>
          <w:sz w:val="28"/>
          <w:szCs w:val="28"/>
        </w:rPr>
      </w:pPr>
    </w:p>
    <w:sectPr w:rsidR="006C27CF" w:rsidRPr="00293032" w:rsidSect="001250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32"/>
    <w:rsid w:val="001250A9"/>
    <w:rsid w:val="00293032"/>
    <w:rsid w:val="006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F9958-39E2-4AED-814F-A44CC9BC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0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694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58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05988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99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4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tantat.ru/wp-content/uploads/2023/03/9kgmhyxssafwcoqwwozo.jpg" TargetMode="External"/><Relationship Id="rId5" Type="http://schemas.openxmlformats.org/officeDocument/2006/relationships/hyperlink" Target="https://vatantat.ru/category/mohim/intervyu/" TargetMode="External"/><Relationship Id="rId4" Type="http://schemas.openxmlformats.org/officeDocument/2006/relationships/hyperlink" Target="https://vatantat.ru/2023/03/10764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Гулюза Гимадиева</dc:creator>
  <cp:keywords/>
  <dc:description/>
  <cp:lastModifiedBy>Гулюза Гимадиева</cp:lastModifiedBy>
  <cp:revision>2</cp:revision>
  <dcterms:created xsi:type="dcterms:W3CDTF">2023-06-01T06:50:00Z</dcterms:created>
  <dcterms:modified xsi:type="dcterms:W3CDTF">2023-06-01T06:52:00Z</dcterms:modified>
</cp:coreProperties>
</file>