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5094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</w:t>
      </w:r>
      <w:r w:rsidR="00884D7D">
        <w:rPr>
          <w:rFonts w:ascii="Times New Roman" w:hAnsi="Times New Roman" w:cs="Times New Roman"/>
          <w:sz w:val="24"/>
          <w:szCs w:val="24"/>
        </w:rPr>
        <w:t>3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1F5094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</w:t>
      </w:r>
      <w:r w:rsidR="00884D7D">
        <w:rPr>
          <w:rFonts w:ascii="Times New Roman" w:hAnsi="Times New Roman" w:cs="Times New Roman"/>
          <w:sz w:val="28"/>
          <w:szCs w:val="28"/>
        </w:rPr>
        <w:t>3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2693"/>
        <w:gridCol w:w="1704"/>
      </w:tblGrid>
      <w:tr w:rsidR="00356D5D" w:rsidRPr="00B2101D" w:rsidTr="00DC5D08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DC5D08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Волжско-Камское межрегиональное управление Федеральной службы по надзору в сфере природопользования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111 232,2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нарными объектами (пени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нарными объектами (федеральные го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ударственные органы, Банк России,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дарственные органы, Банк России,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(федеральные государственные органы, Банк России, органы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государственными внебюджетн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2:D13"/>
            <w:bookmarkStart w:id="1" w:name="RANGE!B12"/>
            <w:bookmarkEnd w:id="0"/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  <w:bookmarkEnd w:id="1"/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66 115,2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(пени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(федеральные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дарственные органы, Банк России,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24 263,2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выбросы загрязняющих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вании попутного нефтяного газа (фед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ральные государственные органы, Банк России, органы управления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технологий и массовых коммун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каций по Республике Татарстан (Тата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средства масс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информации, за внесение 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Федерации,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муниципального образования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Средне-Волжское межрегиональное управление государственного автод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надзора Федеральной службы по надзору в сфере транспорта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112 556,0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ральных судов, должностными лицами федеральных государственных органов, учреждений (штрафы за нарушение Правил дорожного движения, правил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службы войск национальной гвардии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Республике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382 372 119,4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ками, осуществляющими деятельность по производству сжиженного приро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тельщиками, которые до 1 января 2023 года являлись участниками консолид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рованной группы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116 793 454,1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кроме налога, уплаченного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осуществляющими деятельность по производству сжиженного приро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тельщиками, которые до 1 января 2023 года являлись участниками консолид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рованной группы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94 529,0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 налоговые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риоды до 1 января 2023 года (в том числе 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женность), зачисляемый в бюджеты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3 646 847,8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чиваемый международными холдинг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компаниями,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1 01 01016 02 1000 110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 при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полнении соглашений о разработке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сторождений нефти и газа, распол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женных в Северо-Западном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округе, на условиях соглашений о разделе продукции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1 01 01024 01 1000 110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 при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полнении соглашений о разработке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сторождений нефти и газа, распол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женных в Северо-Западном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округе, на условиях соглашений о разделе продукции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1 01 01024 01 3000 110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щиком в бюджеты всех субъектов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55 914 250,5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налога на прибыль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уплаченного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которые до 1 января 2023 года являлись участниками консолидир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ванной группы налогоплательщиков, подлежащие зачислению в бюджеты субъектов Российской Федерации по нормативу, установленному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кодексом Российской Федерации, распределяемые уполномоченным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ганом Федерального казначейства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по нормативам,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ленным федеральным законом о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ральном бюджете (сумма платежа (п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рерасчеты, недоимка и задолженность по соответствующему платежу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5 761 409,8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нормативом, установленным абзацем вторым пункта 2 статьи 56 Бюджетного кодекса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распределяемый уполномоченным органом Федеральн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казначейства между бюджетами субъектов Российской Федерации и местными бюджетами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690 906,4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227.1 и 228 Налогового кодекса Российской Федерации, а также доходов от долев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участия в организации, полученных в виде дивидендов (сумма платежа (п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рерасчеты, недоимка и задолженность по соответствующему платежу, в том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числе по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79 717 188,1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227.1 и 228 Налогового кодекса Российской Федерации, а также доходов от долев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участия в организации, полученных в виде дивидендов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236 374,6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гового кодекса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1 115 401,1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гового кодекса Российской Федерации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7 402,4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 фиксированных авансовых платежей с доходов, полученных физическими лицами, являющимися иностранными гражданами, осуществляющими труд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патента в соответствии со статьей 227.1 Налогового кодекса Российской Федерации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1 771 974,9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 соответствующего уведомления (в части суммы налога, не превышающей 650 000 рублей)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суммы налога, превышающей 650 000 рублей, относящейся к части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говой базы, превышающей 5 000 000 рублей (за исключением налога на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ходы физических лиц с сумм прибыли контролируемой иностранной комп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нии, в том числе фиксированной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были контролируемой иностранной компании, а также налога на доходы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физических лиц в отношении доходов от долевого участия в организации,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лученных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виде дивидендов)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5 421 684,6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в 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суммы налога, превышающей 650 000 рублей, относящейся к части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говой базы, превышающей 5 000 000 рублей (за исключением налога на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ходы физических лиц с сумм прибыли контролируемой иностранной комп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нии, в том числе фиксированной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были контролируемой иностранной компании, а также налога на доходы физических лиц в отношении доходов от долевого участия в организации,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лученных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виде дивидендов) (суммы денежных взысканий (штрафов)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 согласно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конодательству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на основании подачи в налоговый орган соответствующего уведомления (в части суммы налога, не превыша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щей 650 000 рублей)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 соответствующего уведомления (в части суммы налога, превышающей 650 000 рублей) (сумма платежа (перера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четы, недоимка и задолженность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20 699,3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сумм прибыли контролируемой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на основании подачи в налоговый орган соответствующего уведомления (в части суммы налога, превышающей 650 000 рублей)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5 871,8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в виде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видендов (в части суммы налога, не превышающей 650 000 рублей)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2 410 498,9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в виде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видендов (в части суммы налога,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вышающей 650 000 рублей)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6 176 340,9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пищев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сырья, винный спирт, виноградный спирт (за исключением дистиллятов винного, виноградного, плодового,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ньячного,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173 098,9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непищ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вого сырья, производимый на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Российской Федерации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долженность по соответствующему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Акцизы на этиловый спирт из пищев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сырья (дистилляты винный, вин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градный, плодовый, коньячный,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вадосный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1 03 02013 01 1000 110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спиртосодержащую проду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цию, производимую на территории Российской Федерации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вина, вина наливом, плод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вую алкогольную продукцию, игристые вина, включая российское шампанское, а также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напитки, плодовые алкогольные напитки, изг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тавливаемые без добавления ректиф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кованного этилового спирта, произв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денного из пищевого сырья, и (или) без добавления спиртованных виноградн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или иного плодового сусла, и (или) без добавления дистиллятов, и (или) без добавления крепленого (ликерного) вина, производимые на территории Российской Федерации, кроме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водимых из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подакцизного винограда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пиво, напитки, изготавлив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12 865 712,6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пиво, напитки, изготавлив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Акцизы на алкогольную продукцию с объемной долей этилового спирта до 9 процентов включительно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пива, напитков, изготавливаемых на основе пива, вин, виноматериалов, плодовой алкогольной продукции,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ристых вин, включая российское ша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панское, а также за исключением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напитков, плодовых алкогольных напитков, изготавлива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без добавления ректификованного этилового спирта, произведенного из пищевого сырья, и (или) без добавл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спиртованных виноградного или иного плодового сусла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 (или) без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бавления дистиллятов, и (или) без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бавления крепленого (ликерного) вина), производимую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(в порядке,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ленном Министерством финансов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4 177 576,4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алк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компе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 в связи с исключением движимого 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 из объектов налогообложения по налогу на имущество организаций)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1 03 02143 01 0000 110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2 024 455,4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новленным федеральным законом о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федеральном бюджете, в целях компе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выпадающих доходов бюджетов субъектов Российской Федерации в связи с передачей 50 процентов дох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от акцизов на средние дистилляты, производимые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в федеральный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1 03 02144 01 0000 110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3 030 924,6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сырья, винный спирт, виноградный спирт (за искл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чением дистиллятов винного, вин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градного, плодового, коньячного,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вадосного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Российской Федерации, подлежащие распределению между бюджетами субъектов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7 676,3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пищевого сырья (дистилляты винный, виноградный, плодовый, кон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ячный,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висковый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изводимый на территории Российской Федерации, подлежащие распредел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(по нормативам, установленным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спирт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содержащую продукцию, производ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мую на территории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рации, подлежащие распределению между бюджетами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непищевого сырья, произв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димый на территории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дерации, подлежащие распределению между бюджетами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1 03 02220 01 0000 110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дизел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7 451 429,8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1 896 292,7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мото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форм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38 918,0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мото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реализ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9 904,1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7 701 634,2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1 959 966,5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прям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-811 271,9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прям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-206 458,2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Акциз на сталь жидкую, выплавляемую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за налоговый период составляет не менее 80 процентов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1 03 02450 01 1000 110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10 114 261,9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ствующему платежу, в том числе по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5 085 972,0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(суммы денежных взысканий (штрафов) по соответствующему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(за налог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вые периоды, истекшие до 1 января 2011 года)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(за налог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вые периоды, истекшие до 1 января 2011 года) (суммы денежных взыск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-665,7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(суммы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профессиональный доход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1 425 726,7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в связи с примен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нием специального налогового режима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Автоматизированная упрощенная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стема налогообложения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1 05 07000 01 1000 110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77 212,2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37 335 715,3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(суммы дене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взысканий (штрафов)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 согласно закон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стему газоснабжения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806 620,8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1 671 804,4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физических лиц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5 018 092,4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физических лиц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фов) по соответствующему платежу согласно законодательству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игорный бизнес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6 543,7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лезных руд, многокомпонентной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плексной руды, в отношении которой при налогообложении установлен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эффициент, характеризующий 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мость ценных компонентов в руде)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том числе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лезных руд, многокомпонентной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плексной руды, в отношении которой при налогообложении установлен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эффициент, характеризующий 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мость ценных компонентов в руде)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живо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мира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водных биологических ресурсов (исключая внутренние водные объекты)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Сбор за пользование объектами водных биологических ресурсов (по внутре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ним водным объектам)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повто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выдачу свидетельства о постано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 на учет в налоговом органе (при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1 487,4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городских округов (сумма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муниципальных районов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зачи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муниципальных районов (су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 денежных взысканий (штрафов) по соответствующему платежу согласно законодательству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за добычу углеводородного сырья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за добычу подземных вод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Отчисления на воспроизводство мин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рально-сырьевой базы, зачисляемые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рации, за исключением уплачиваемых при добыче общераспространенных полезных ископаемых и подземных вод, используемых для местных нужд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имущество предприятий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предприятий (суммы денежных взысканий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транспортных средств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транспортных средств (суммы дене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взысканий (штрафов)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 согласно закон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пользователей автомобильных дорог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пользователей автомобильных дорог (суммы денежных взысканий (штрафов) по соответствующему 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продаж (сумма платежа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с продаж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налоги и сборы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налоги и сборы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(суммы денежных взысканий (штрафов) по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на территории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1 12 02030 01 1000 120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естре индивидуальных предпринимат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 (при обращении через многофун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информации из реестра дисквалифицированных лиц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ствовавшим в 2019 году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сумм пеней, предусмотре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законодательством Российской Федерации о налогах и сборах,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бюджеты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по норм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тиву, установленному Бюджетным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дексом Российской Федерации, 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деляемые Федеральным казначейством между бюджетами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 соответствии с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ральным законом о федеральном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631 059,6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Федеральное казенное учреждение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Отдел финансового обеспечения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нистерства обороны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по Пермскому краю, Республике Башкортостан и Республике Татарстан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внутренних дел по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3 715 573,5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ственная пошлина за выдачу паспорта, удостоверяющего личность гражданина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 за пределами территории Российской Федерации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поколения)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ния), гражданину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ции в возрасте до 14 лет (при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1 08 06000 01 8006 110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внесение 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паспорт, удостоверяющий 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гражданина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за пределами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1 08 06000 01 8007 110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регистрацию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странного гражданина или лица без гражданства по месту жительства в Российской Федерации) (при 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1 08 06000 01 8014 110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выдачу паспорта гражданина Российской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15 981,3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выдачу паспорта гражданина Российской Федерации взамен утр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или пришедшего в негодность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транспортных средств и иные юридически значимые действия уполномоченных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ных государственных органов, связа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изменением и выдачей докуме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на транспортные средства, рег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17 971,8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3 330 599,5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-2 901,6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306 879,2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шения задолженности, образовавшейся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федеральный бюджет и бюджет субъекта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(за исключением консульских учреждений Российской Федерации) (государственная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состояния, совершаемую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записи актов гражданского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ния (за исключением консульских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учреждений Российской Федерации) (при обращении через многофункци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1 08 05000 01 8001 110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(за исключением консульских учреждений Российской Федерации) (государственная пошлина за другие юридически значимые действия,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вершаемые органами записи актов гражданского состояния и иными уполномоченными органами (за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ключением консульских учреждений Российской Федерации) (при 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1 08 05000 01 8002 110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ных, региональных и местных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их учредительных документов (государственная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иных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 (отделений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политических партий и региональных отделений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литических партий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государственные пошлины за государственную регистрацию, а также за совершение прочих юридически зн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чимых действий (государственная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совершение прочих юридич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 значимых действий) (при обращ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1 08 07200 01 8039 110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Управление Федеральной службы го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ударственной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565 190,6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прав, огранич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(обременений) прав на недвижимое имущество и сделок с ним (при обр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554 766,0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из Единого государственного реестра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движимости (при предоставлении 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лично-правовой компанией в сфере государственного кадастрового учета и государственной регистрации прав в случае, когда предоставление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ществляется через многофункционал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центры, а также 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1 13 01031 01 8020 130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130 496,6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Разовые платежи за пользование недрами при наступлении определе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событий, оговоренных в лицензии, при пользовании недрами на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Российской Федерации по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113 078,0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проведение государственной экспертизы запасов полезных ископа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и подземных вод, геологической информации о предоставляемых в пользование участках недр местного значения, а также запасов общераспр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страненных полезных ископаемых 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запасов подземных вод, которые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пользуются для целей питьевого вод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снабжения или технического вод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снабжения и объем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добычи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которых составляет не более 500 кубических метров в сутки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Сборы за участие в конкурсе (аукц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Сборы, вносимые заказчиками док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ментации, подлежащей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экспертизе,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 и проведение которой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ляются органами государственной 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субъектов Российской Федерации, рассчитанные в соответствии со сметой расходов на проведение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новления, представления, решения)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гана (должностного лица),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ляющего государственный надзор (ко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троль), организации, уполномоченной в соответствии с федеральными законами на осуществление государственного надзора (должностного лица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органа (должностного лица), осуществляющ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муниципальный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соответствии с договором водопол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в случае неисполнения или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надлежащего исполнения обязательств перед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Федерации, 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1 16 07040 02 0000 140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523 524,5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512 230,7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стоянию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81 806,5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78 863,5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здравоохранения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206 412,3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84 558,9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91 530,3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62 314,0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7 345,3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16 308,3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1 228,1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1 359,8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цифрового развития го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ударственного управления, информ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ционных технологий и связи Республ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393 549,9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ванием, с проведением аттестации 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действия органов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Федерации, связа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государственной аккредитацией образовательных учреждений,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ществляемой в пределах переданных полномочий Российской Федерации в области образования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 по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ставлению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апостиля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документах государственного образца об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нии, об ученых степенях и ученых 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ниях в пределах переданных полном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Российской Федерации в области образования (сумма платежа (перера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17 637,0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-550,8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87 264,0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организацию бесплатного горячего питания обучающихся, 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чающих начальное общее образование в государственных и муниципальных образовательных организациях,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2 18 25304 02 1002 150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259 014,1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16 145,2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143 359,6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125 388,1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обеспечение комплексного развития сельских территорий из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щем году дебиторской задолженности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2 18 25576 02 1002 150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Главное управление ветеринарии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бинета Министров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4 780,5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84 104 535,6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размещения временно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7 241 269,9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операций по управлению остатками средств на едином казначе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 счете,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200 024,8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Проценты, полученные от предоста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ления бюджетных кредитов внутри страны за счет средств бюджетов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10 458,5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должностными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премирование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бедителей Всероссийского конкурса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Лучшая муниципальная практика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показателей деятельности органов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214 270,0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из местных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119 578,3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сокращение доли загрязненных сточных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654 318,9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69 209,3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приятий по стимулированию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1 511 687,2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проектов в сфере информац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онных технологий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программ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области испол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зования и охраны водных объектов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90 020,2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подготовку упра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организаций, входящих в систему спортивной подготовки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30 559,4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предоставление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лых помещений детям-сиротам и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тям, оставшимся без попечения род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телей, лицам из их числа по договорам найма специализированных жилых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114 404,0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предусмотренных регионал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программой переселения, вкл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ченной в Государственную программу по оказанию содействия добровольн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 переселению в Российскую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соотечественников, проживающих за рубежом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ально-технической базы для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учебно-исследовательской, научно-практической, творческой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сти, занятий физической культурой и спортом в 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нальных проектов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формационной системы в сфере здр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воохранения (ЕГИСЗ)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148 660,9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граммы комплексного развития мол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дежной политики в регионах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для молодых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135 370,6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единовременные компенсационные выплаты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 работникам (врачам, фельдшерам, а также акушеркам и медицинским сестрам фельдшерских и фельдшерско-акушерских пунктов), прибывшим (п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реехавшим) на работу в сельские нас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70 751,4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(обно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материально-технической базы) оборудованием, средствами обучения и воспитания общеобразовательных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в том числе осуществля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образовательную деятельность по адаптированным основным общеобр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зовательным программам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159 052,8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деятельности советников директора по воспитанию и взаимодействию с детскими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объединениями в общео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56 964,4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палли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70 178,0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предупреждению и борьбе с социально значимыми инфекционными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40 388,0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ально-технической базы образовател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организаций для внедрения 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ровой образовательной среды и разв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тия цифровых навыков обучающихся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102 551,4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объе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спортивной инфраструктуры спо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тивно-технологическим оборудованием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14 785,6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приобретение спо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тивного оборудования и инвентаря для приведения организаций дополнител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ного образования со специальным наименованием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спортивная школа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использующих в своем наименовании слово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олимпийский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или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его основе слова или словосоч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тания, в нормативное состояние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новых мест в общеобразовательных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циях, расположенных в сельской мес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и поселках городского типа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49 123,4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дополн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мест для детей в возрасте от 1,5 до 3 лет в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зациях, осуществляющих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тельную деятельность по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тельным программам дошкольного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251 779,5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модернизацию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фраструктуры общего образования в отдельных субъектах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3 417 443,0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282 284,9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строительство и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конструкцию (модернизацию) объектов питьевого водоснабжения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431 452,1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мероприятий по осуществлению единовременных компенсационных выплат учителям, прибывшим (пер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ехавшим) на работу в сельские нас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стимулирования увеличения производства масличных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заправо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инфраструктуры компримирова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природного газа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59 951,7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возникающих при поддержке переоборудования сущ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ствующей автомобильной техники, включая общественный транспорт и коммунальную технику, для использ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природного газа в качестве 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20 238,7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связанных с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лизацией федеральной целевой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граммы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Увековечение памяти поги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 при защите Отечества на 2019 - 2024 годы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осуществление ежемесячных выплат на детей в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расте от трех до семи лет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1 758 435,6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организацию 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платного горячего питания обуча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получающих начальное общее образование в государственных и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1 515 613,0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новых мест в общеобразовательных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в связи с ростом числа обуча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вызванным демографическим фактором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145 501,1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и внедр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программы поддержки и продв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жения событийных мероприятий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40 776,9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держки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140 587,9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программ по проектированию туристского кода центра города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306 776,4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виногр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дарства и виноделия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сельского туризма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школ 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ативных индустрий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2 02 25353 02 0000 150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133 637,2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проектов модернизации 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вичного звена здравоохранения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1 934 392,4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портной инфраструктуры на сельских территориях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628 031,7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мероприятий по проведению массового обследования новорожденных на врожденные и (или) наследственные заболевания (расш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ренный неонатальный скрининг)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2 02 25385 02 0000 150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56 061,9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приведение в 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мативное состояние автомобильных дорог и искусственных дорожных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3 064 085,9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возникающих при ок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зании гражданам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высокотехнологичной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помощи, не включенной в баз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программу обязательного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426 267,3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социальной помощи на основании социального контракта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484 307,3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тик поддержки добровольчества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лонтерства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по итогам проведения еж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годного Всероссийского конкурса лу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 региональных практик поддержки и развития добровольчества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волонте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добрых дел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7 676,2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реновацию учр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ждений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295 738,9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компенсацию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укрепление мат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риально-технической базы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25 807,1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поддержки фермеров и развитие сел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кооперации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330 233,0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и г. Байк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нура на осуществление мероприятий, направленных на создание некапитал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объектов (быстровозводимых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струкций) отдыха детей и их оздоро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36 297,6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жильем мол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26 054,7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(р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1 626 831,5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стимулирование развития приоритетных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агропромышленного комплекса и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витие малых форм хозяйствования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908 932,8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сельск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хозяйственного производства по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дельным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857 848,2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плексных кадастровых работ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сети учреждений культурно-досугового типа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180 339,9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техническое оснащение детских и кукольных теа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14 791,6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достижение показ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 государственной программы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Реализация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национальной политики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4 853,5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36 649,6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созданию в субъектах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новых мест в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221 343,9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модул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некапитальных средств размещ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при реализации инвестиционных проектов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92 134,0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малого и среднего предпр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нимательства, а также физических лиц, применяющих специальный налоговый режим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профессиональный доход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субъектах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240 952,0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заку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авиационных работ в целях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29 768,9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 формирования современной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1 158 904,6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88 358,9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543 664,2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реги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и муниципальных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филактики развития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пансерном наблюдении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261 744,6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техническое осн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щение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38 525,0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региональных программ развития промышленности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68 346,1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реконструкцию и капитальный ремонт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72 836,1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гидр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мелиоративных,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фитомели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ративных мероприятий, а также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известкования ки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лых почв на пашне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46 107,8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модернизации школьных систем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2 408 709,0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(доо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нащение и (или) переоснащение)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цинскими изделиями медицинских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имеющих в своей структуре подразделения, оказывающие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скую помощь по медицинской реаб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94 032,3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закупки и монтажа оборудования для создания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умных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спортивных площ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создания (реконструкции) объектов спортивной инфраструктуры массового спорта на основании соглашений о го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ударственно-частном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-частном) партнерстве или концессио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ных соглашений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108 723,2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осн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щения государственных и муниципал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общеобразовательных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ций, в том числе структурных подра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делений указанных организаций,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дарственными символами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(муниципальной)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обеспечения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924 305,9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бюджету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стан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вложений в объекты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(муниципальной) собственности в рамках обеспечения дорожной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тельности по проектам, реализуемым с применением механизма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но-частного партнерства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2 02 27769 02 0000 150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субсидии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263 979,0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переданных полномочий Российской Федерации по федеральному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ственному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соблюдением правил технической эксплуатации вн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уличного транспорта и правил польз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внеуличным транспортом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2 02 35067 02 0000 150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улучшение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логического состояния гидрографич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сети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68 735,5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129 435,7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составлению (измен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3 111,7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20 342,5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ле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411 019,7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12 января 1995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соответствии с Указом През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дента Российской Федерации от 7 мая 2008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714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обеспечении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льем ветеранов Великой Отечественной войны 1941 - 1945 годов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22 941,9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12 января 1995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66 744,9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24 ноября 1995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181-ФЗ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защите инвалидов 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202 395,9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переданного полномочия Российской Федерации по осуществлению ежего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денежной выплаты лицам, награ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денным нагрудным знаком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200 571,2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выплату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дарственного единовременного пос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бия и ежемесячной денежной компе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гражданам при возникновении поствакцинальных осложнений в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ветствии с Федеральным законом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17 сентября 1998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157-ФЗ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иммунопрофилактике инфекционных 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лезней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оплату жили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но-коммунальных услуг отдельным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2 336 376,5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</w:t>
            </w:r>
            <w:r w:rsidR="00151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bookmarkStart w:id="2" w:name="_GoBack"/>
            <w:bookmarkEnd w:id="2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19 апреля 1991 года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тости населения 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567 286,8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мер пожарной безопасности и тушение лесных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2 02 35345 02 0000 150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48 804,7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увеличение площади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94 085,9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формирование запаса лесных семян для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оснащение 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циализированных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учреждений органов государственной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охране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 от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оказание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социал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услуги по обеспечению лека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препаратами для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применения по рецептам на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карственные препараты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медицинскими изделиями по рецептам на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изделия, а также специализир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ванными продуктами лечебного пит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1 605 794,3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275 336,3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66 006,6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сенаторов Российской Федерации и их помощников в субъектах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6 388,9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463 159,4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переоснащение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цинских организаций, оказывающих медицинскую помощь больным с онк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логическими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71 637,0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оснащение оборудован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 региональных сосудистых центров и первичных сосудистых отделений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129 468,2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Социалистического Труда,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роев Труда Российской Федерации и полных кавалеров ордена Трудовой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Федерации на финансовое обеспечение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расходов на организационные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приятия, связанные с обеспечением лиц лекарственными препаратами, предн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значенными для лечения больных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мофилией,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гипоф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зарным нанизмом, болезнью Гоше, зл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качественными новообразованиями лимфоидной, кроветворной и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им тканей, рассеянным скл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розом,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-уремическим 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дромом, юношеским артритом с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мукополисахарид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дефицитом факторов II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(фибрин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гена), VII (лабильного), X (Стюарта-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Прауэра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а также после трансплант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органов и (или) тканей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Советского Союза, Героев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полных кавал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 ордена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в целях достижения резул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татов национального проекта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водительность труда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2 02 45289 02 0000 150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81 907,9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организацию професси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нального обучения и дополнительного профессионального образования рабо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ников промышленных предприятий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50 537,2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дополн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мероприятий, направленных на снижение напряженности на рынке труда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временного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доустройства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103 551,2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дополн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тельных мероприятий, направленных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 снижение напряженности на рынке труда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общественных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32 608,5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1 910 368,4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197 652,7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по финансовому обеспечению (возмещению) произв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дителям зерновых культур части затрат на производство и реализацию зерн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973 211,0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развитие инфраструкт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ры дорожного хозяйства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2 02 45389 02 0000 150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1 712 751,6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Федерации в целях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 полном объеме расходных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оказании спец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ведения специальной военной операции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2 02 45406 02 0000 150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161 875,9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внедрение интеллект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альных транспортных систем,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сматривающих автоматизацию проце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224 349,7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Федерации, органам местного самоуправления, гражданам Российской Федерации, гражданам Украины, гражданам Донецкой Наро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Республики, гражданам Луганской Народной Республики и лицам без гражданства медицинской помощи, а также затрат по проведению указанным лицам профилактических прививок, включенных в календарь профилакт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ческих прививок по эпидемическим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показаниям, и затрат по проведению обязательного медицинского освид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тельствования указанных лиц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создание комфортной городской среды в малых городах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торических поселениях - победителях Всероссийского конкурса лучших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создания комфортной городской среды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2 02 45424 02 0000 150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692 520,0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возмещение части затрат на уплату процентов по инвестицио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кредитам (займам) в агропромы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274 269,9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создание модельных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библиотек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проведение вакцинации против пневмококковой инфекции граждан старше трудоспособного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раста из групп риска, проживающих в организациях социального обслужив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деятельности, связанной с доно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ством органов человека в целях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плантации (пересадки)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3 296,6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возмещение затрат по созданию, модернизации и (или) реко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струкции объектов инфраструктуры индустриальных парков или промы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ленных технопарков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19 111 022,3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Межбюджетный трансферт, передава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мый бюджету Республики Татарстан на создание центра развития кадрового потенциала туристической отрасли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2 02 45529 02 0000 150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101 000,0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мероприятий по развитию зарядной инфраструктуры для электромобилей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2 02 45766 02 0000 150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42 780,0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финансирование доро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деятельности в отношении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бильных дорог общего пользования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гионального или межмуниципального,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2 02 45784 02 0000 150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1 017 885,9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Правительства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246 906,0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600 127,8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жилищного фонда с учетом нео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ходимости развития малоэтажного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57 245,0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 w:rsidR="001F50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модернизации систем коммунальной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950 769,0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0F2F98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0F2F98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941 459,9</w:t>
            </w:r>
          </w:p>
        </w:tc>
      </w:tr>
      <w:tr w:rsidR="000F2F98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0F2F98" w:rsidRPr="0086089D" w:rsidRDefault="000F2F98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8608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F2F98" w:rsidRPr="0086089D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0F2F98" w:rsidRPr="0086089D" w:rsidRDefault="000F2F98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0F2F98" w:rsidRPr="0086089D" w:rsidRDefault="000F2F98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в целях финансового обеспечения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обязательств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 по предоставлению межбюджетных трансфертов бюджету соответствующ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территориального фонда обязател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на 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полнительное финансовое обеспечение оказания медицинской помощи лицам, застрахованным по обязательному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дицинскому страхованию, в том числе с заболеванием и (или) подозрением на заболевание новой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COVID-19), в рамках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территориальных программ обязательного медицинского страхов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 Федерации из бюджетов территориальных фондов обязательного медицинского страхов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 восстановленной в текущем году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2 18 55849 02 1002 150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DC6BA2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межбюджетных трансфертов на допо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нительное финансовое обеспечение оказания первичной медико-санитарной помощи лицам, застрах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 по обязательному медици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скому страхованию, в том числе с заб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леванием и (или) подозрением на заб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левание новой </w:t>
            </w:r>
            <w:proofErr w:type="spellStart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цией (COVID-19), в рамках реализации территориальных программ обязател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из бюджетов территориальных фондов обязательного медицинского страхов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</w:t>
            </w:r>
            <w:proofErr w:type="gramEnd"/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восстановленной в текущем году дебиторской задолже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C6B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DC6BA2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DC6BA2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2 18 55854 02 1002 150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DC6BA2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69 660,5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253 112,8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56 327,0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за счет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становленной в текущем году дебито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задолженности прошлых лет, а также остатков, образовавшихся на 1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января текущего финансового года за счет восстановленной дебиторской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долженности, образовавшейся за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оды, предшествующие отчетному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един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медицинским работникам (врачам, фельдшерам, а также акушеркам и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дицинским сестрам фельдшерских и фельдшерско-акушерских пунктов), прибывшим (переехавшим) на работу в сельские населенные пункты, либо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бочие поселки, либо поселки городск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типа, либо города с населением до 50 тысяч человек, из бюджетов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-7 457,9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создание системы долговременного ухода за гражданами пожилого возраста и инв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лидами из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в целях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вития паллиативной медицинской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мощи из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по предупреждению и борьбе с социально значимыми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фекционными заболеваниями из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сельские населенные пун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либо рабочие поселки, либо посе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городского типа, либо города с населением до 50 тысяч человек, из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поддержку стимулирования увеличения производства масличных культур из бюджетов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Возврат остатков субсидий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ежемесячных выплат на детей в возрасте от трех до семи лет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включительно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-785,5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ганизациях,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-7 474,4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возникающих при оказании гражданам Российской Федерации высокотехнологичной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дицинской помощи, не включенной в базовую программу обязательного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дицинского страхования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-399,1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дан, из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-2 029,2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создание системы поддержки фермеров и разв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тие сельской кооперации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-4 766,8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стим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лирование развития приоритетных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плекса и развитие малых форм хозя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ствования из бюджетов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-2 097,6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держку сельскохозяйственного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водства по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растениеводства и животноводства из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-10 977,0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поддержку малого и среднего предпринимательства, а также физич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ональный доход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бюджетов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-49 170,2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обесп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закупки авиационных работ в 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в области мелиор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земель сельскохозяйственного назначения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-12 913,0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комплексного развития сельских территорий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-1 463,4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 профилактики развития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но-сосудистых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заболеваний и серде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но-сосудистых осложнений у пацие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высокого риска, находящихся на диспансерном наблюдении,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отдельных полномочий в области лесных отношений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-192,8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по обеспеч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нию жильем отдельных категорий граждан, установленных Федеральным законом от 12 января 1995 года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переданного полномочия Российской Федерации по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ежегодной денежной выплаты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-4 851,9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субвенций на соц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выплаты безработным гражд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 в соответствии с Законом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19 апреля 1991 года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-6 214,0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выпл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 государственных пособий лицам, не подлежащим обязательному социал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страхованию на случай време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нетрудоспособности и в связи с материнством, и лицам, уволенным в связи с ликвидацией организаций (пр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кращением деятельности, полномочий физическими лицами), в соответствии с Федеральным законом от 19 мая 1995 года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81-ФЗ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государственных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собиях гражданам, имеющим детей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субвенций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отдельным категориям граждан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услуги по обеспечению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карственными препаратами для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применения по рецептам на лекарственные препараты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скими изделиями по рецептам на мед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цинские изделия, а также специализ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рованными продуктами лечебного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 для детей-инвалидов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выпо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нение полномочий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осуществлению ежемесячной выплаты в связи с рождением (усыно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лением) первого ребенка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2 19 35573 02 0000 150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-3 010,7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в целях предоставления социальных выплат гражданам Доне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 Народной Республики, Луганской Народной Республики, Украины и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цам без гражданства, вынужденно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кинувшим территории Донецкой Народной Республики, Луганской Народной Республики, Украины и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бывшим на территорию Российской Федерации, за счет средств резервного фонда Правительства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 из бюджетов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2 19 44510 02 0000 150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межбюджетных трансфертов прошлых лет на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обеспечение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оснащение оборудов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региональных сосудистых 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тров и первичных сосудистых отдел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-13 543,6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образовательных организаций из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-1 922,2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-13 994,8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трансфертов в целях финансового обеспечения расходных обязательств субъектов Российской Федерации и г. Байконура по предоставлению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 бюджету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ответствующего территориального фонда обязательного медицинского страхования на финансовое обеспеч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проведения углубленной диспанс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ризации застрахованных по обязател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ному медицинскому страхованию лиц, перенесших новую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коронавирусную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инфекцию (COVID-19), в рамках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территориальной программы обязательного медицинского страхов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2 19 45622 02 0000 150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возмещение расходов, понесенных бюджетами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размещение и питание граждан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Украины, Донецкой Народной Республики, Луганской Народной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и лиц без гражданства, пост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янно проживающих на территориях Украины, Донецкой Народной Респу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лики, Луганской Народной Республики, вынужденно покинувших территории Украины, Донецкой Народной Респу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лики, Луганской Народной Республики и прибывших на территорию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 экстренном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масс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вом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порядке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пунктах временного размещения и питания, за счет средств резервного фонда Правительства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из бюджетов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2 19 45694 02 0000 150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 бюджету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ответствующего территориального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фонда обязательного медицинского страхования на дополнительное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совое обеспечение оказания медици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помощи лицам, застрахованным по обязательному медицинскому стр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хованию, в том числе с заболеванием и (или) подозрением на заболевание 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вой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 (COVID-19), в рамках реализации 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риториальных программ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обязательного медицинского страхования за счет средств резервного фонда Правител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Российской Федерации из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2 19 45849 02 0000 150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-339,2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прочих остатков субсидий, субвенций и иных межбюджетных трансфертов, имеющих целевое назн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чение, прошлых лет из бюджетов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-33 396,1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1 975 088,7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органом исполнительной власти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специал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разрешения на движение по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мобильным дорогам транспортных средств, осуществляющих перевозки опасных, тяжеловесных и (или) кру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ногабаритных грузов, зачисляемая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оказание услуг по присоед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нению объектов дорожного сервиса к автомобильным дорогам общего 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регионального или межмун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значения, зачисляемая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1 13 01520 02 0000 130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71 709,6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Прочие доходы от компенсации затрат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1 322 727,5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235 533,5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Платежи, взимаемые государственн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органами (организациями)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за выполн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учреждениями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5 325,1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Платежи, уплачиваемые в целях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вреда, причиняемого автом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бильным дорогам регионального или межмуниципального значения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портными средствами, осуществля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щими перевозки тяжеловесных и (или) крупногабаритных грузов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215 956,6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114 404,3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6 285,4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строительства, архите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туры и жилищно-коммунального 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3 297 554,0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223 255,0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55 570,4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1 224 792,7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Платежи в целях возмещения убытков,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1 677 236,4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107 472,7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стоянию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гоквартирными домами (сумма платежа (перерасчеты, недоимка и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ностными лицами органов исполн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Федерации, учреждениями субъектов Российской Федерации (штрафы за нарушение установленного федерал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законом запрета курения табака на отдельных территориях, в помещениях и на объектах)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1 16 01062 01 0024 140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ственности, налагаемые должностными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лицами органов исполнительной власти субъектов Российской Федерации, учреждениями субъектов Российской Федерации (штрафы за нарушение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законодательства о передаче технической документации на мног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квартирный дом и иных связанных с управлением таким многоквартирным домом документов)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осуществления предпринимател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гоквартирными домами)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законодател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об энергосбережении и о повыш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энергетической эффективности)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ственный порядок и общественную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323 822,9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нии органов государственной власти субъектов Российской Федерации (за исключением имущества бюджетных 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ли средств бюджета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94 787,7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8 507,2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ежемесячную денежную выплату на ребенка в возрасте от вос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до семнадцати лет из бюджета Фо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 пенсионного и социального страх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Российской Федерации (в части возврата остатков, образовавшихся на счетах бюджетов по состоянию на 1 января текущего финансового года, в рамках финансирования отчетного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нансового года)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2 18 33144 02 1001 150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142 053,2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спорта Республики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35 084,8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свидетельства о государственной 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кредитации региональной спортивной федерации (сумма платежа (перерасч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13 448,4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16 026,1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земельных и имущ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отношений Республики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8 112 199,0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564 418,6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7 047 637,5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и осуществление полном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по управлению и распоряжению которыми передано органам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власти субъектов Российской Федерации, а также средства от прод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зданных ими учреждений (за исключ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имущества бюджетных и авт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номных учреждений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60 509,7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(за исключением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220 880,9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Федерации, государственными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или муниципальными предприятиями либо государственными или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39 475,8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перечисления части приб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остающейся после уплаты налогов и иных обязательных платежей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унитарных предприятий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47 300,0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продажи квартир, наход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 в собственности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1 14 01020 02 0000 410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12 837,7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нии органов государственной власти субъектов Российской Федерации (за исключением имущества бюджетных и автономных учреждений субъектов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74 369,0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продажи земельных учас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20 767,1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ственность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решениями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(за исключением обвинительных приговоров судов)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Управление делами Раиса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Кабинета Министров Респу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лем) обязательств, предусмотренных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(иные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связанные с нецелевым использован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 бюджетных средств, невозвратом либо несвоевременным возвратом бюджетного кредита,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дитом, нарушением условий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 бюджетного кредита, нар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шением порядка и (или) условий предоставления (расходования) ме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индивидуальным предприним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телям и физическим лицам, подлеж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щие зачислению в бюджет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Центральная избирательная комиссия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58 070,7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порядка рассмотрения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ращений граждан)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законодательства об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низации предоставления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и муниципальных услуг)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порядка или срока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ставления сведений о поступлении 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незаконное использование политич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партией денежных средств и 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срока возврата жертвоват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государственных нормати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требований охраны труда, соде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жащихся в федеральных законах и иных нормативных правовых актах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1 16 01053 01 0271 140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требований законодател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ства, предусматривающих выдачу 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циальных разрешений на движение по автомобильным дорогам тяжеловесного и (или) крупногабаритного транспор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1 16 01053 01 0631 140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санитарно-эпидемиологических требований к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плуатации жилых помещений и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помещений, зданий, соор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жений и транспорта)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незаконный оборот нарк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тических средств, психотропных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наркот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ческие средства или психотропные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ально опасных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уклонение от прохождения диагностики, профилактических мер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лечения от наркомании и (или) медицинской и (или) социальной реабилитации в связи с потреблением наркотических средств или психотро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1 16 01063 01 0091 140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занятие водного объекта или пользование им с наруш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установленных условий)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пользование объектами животн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мира и водными биологическими ресурсами без разрешения)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авторских и смежных прав, изобретательских и патентных прав)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уничтожение или повреждение чужого имущества)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подключение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пользование электрической, тепловой энергии, нефти или газа)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установленного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рядка патентования объектов промы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собственности в иностранных государствах)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передаче технической док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7 Кодекса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предпринимательской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по управлению многоквартирными домами)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промышленной безопасности или условий лицензий на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видов деятельности в области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мышленной безопасности опасных производственных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к обеспечению безопасности гидротехнических сооружений,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новленных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ввод в эксплу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тацию топлив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о-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энергопотребляющих объектов без разрешения соответств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 органов)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нодательства об энергосбережении и о повышении энергетической эффекти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(порядка обеспечения) недискр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минационного доступа, порядка 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ключения (технологического прис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зак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нодательства о теплоснабжении)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производства, заготовки,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хранения, переработки, испол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зования и реализации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подкарантинной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продукции (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матери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ла,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груза)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карантина животных или 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ветеринарно-санитарных правил)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ветеринарно-санитарных правил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перегона или убоя животных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 правил заготовки, переработки, хр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нения или реализации продуктов 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вотноводства)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безопасности при строительстве, эксплуатации или ремонте магистрал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трубопроводов)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11 Кодекса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несоблюдение установленных правил и норм, регулирующих порядок проектирования, строительства и эк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плуатации сетей и сооружений связи)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хранении документов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содержащейся в информ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ционных системах)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1 16 01133 01 0025 140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сиями по делам несовершеннолетних и защите их прав (штрафы за незаконную продажу товаров (иных вещей),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когольной и спиртосодержащей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туристской деятельности)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нарушение установленного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порядка проведения специальной оценки условий труда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1 16 01143 01 0054 140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предпринимательской деятел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в области транспорта без лице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организаторами азартных игр в букм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керской конторе и тотализаторе треб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ваний к заключению пари на офиц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спортивные соревнования и проведению других азартных игр)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сиями по делам несовершеннолетних и защите их прав (штрафы за незаконную розничную продажу алкогольной и спиртосодержащей пищевой продукции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нарушение срока постановки на учет в налоговом органе)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нарушение сроков представления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говой декларации (расчета по страх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 взносам)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непредставление (несообщение) свед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необходимых для осуществления налогового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ответствующей маркировки и (или) информации, а также с нарушением установленного порядка нанесения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финансов, налогов и сборов, страхования, рынка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(иные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таможенн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дела (нарушение таможенных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невыполн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законных требований прокурора, следователя, дознавателя или 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лица, осуществляющего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изводство по делу об администрати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правонарушении)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воспрепя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ствование законной деятельности должностного лица органа, уполном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на осуществление функций по принудительному исполнению испо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защиты Государственной границы Российской Федерации и обеспечения режима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бывания иностранных граждан или лиц без гражданства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порядка предоставл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земельных или лесных участков либо водных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передачу либо попытку передачи запрещенных предметов лицам, соде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жащимся в учреждениях уголовно-исполнительной системы или изолят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рах временного содержания)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заведомо ложный вызов специ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лизированных служб)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фы за осуществление деятельности, не связанной с извлечением прибыли, без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несоблюдение порядка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регистрации прав на недв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жимое имущество или сделок с ним)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вознаграждение от имени юридического лица)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привлечение к труд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деятельности либо к выполнению работ или оказанию услуг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ственного или муниципального служ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к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образовательной деятельности и организации образовательного проце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1 16 01193 01 0030 140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воспрепятствование законной деятельности должностного лица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государственного контроля (надз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ра), должностного лица организации, уполномоченной в соответствии с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деральными законами на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государственного надзора, дол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 органа муниципального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требований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вершеннолетних и защите их прав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(штрафы за нарушение требований 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жима чрезвычайного положения)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прои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водства, приобретения, продажи, пер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дачи, хранения, перевозки, ношения, коллекционирования, экспонирования, уничтожения или учета оружия и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тронов к нему, а также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производства, продажи, хранения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технических изделий, порядка выдачи свидетельства о прохождении подг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товки и проверки знания правил 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опасного обращения с оружием и нал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чия навыков безопасного обращения с оружием или медицинских заключений об отсутствии противопоказаний к 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дению оружием)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незаконные изготовление, продажу или передачу пневматическ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оружия)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пересылку оружия, нар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 правил перевозки, транспорт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или использования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стрельбу из оружия в отв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 с нарушением установленных правил или в не отв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серт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фикации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24 212,3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Государственного Совета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1 967,3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молодежи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неисполнение родителями или иными законными представителями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обязанностей по соде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жанию и воспитанию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1 16 01053 01 0035 140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вовлечение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летнего в процесс потребления табака)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1 16 01063 01 0023 140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ровье, санитарно-эпидемиологическое благополучие населения и обществе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 в области дорожного движения,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защиты Государственной границы Российской Федерации и обеспечения режима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бывания иностранных граждан или лиц без гражданства на территории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ственный порядок и общественную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19 134,6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27 045,4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36 860,9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инспекция Республ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Татарстан по обеспечению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производством, оборотом и качеством этилового спи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та, алкогольной продукции и защите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103 430,7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98 773,3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(штрафы за нарушение правил продажи этилового спирта, алкогол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 спиртосодержащей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когольной и спиртосодержащей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15 Кодекса Российской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должностными 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рации), налагаемые мировыми судьями, комиссиями по делам несовершенн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новлены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требования по маркировке и (или) нанесению информации, без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ответствующей маркировки и (или) информации, а также с нарушением установленного порядка нанесения 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лесного хозяйства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89 281,6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публичный сервитут,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смотренная решением уполномоченн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органа об установлении публичного сервитута в отношении земельных участков, которые расположены в гр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ницах сельских поселений, находятся в федеральной собственности и 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Российской Федерации по управлению и распор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жению которыми передано органам государственной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не предоставл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 гражданам или юридическим лицам (за исключением органов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власти (государственных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ганов), органов местного самоуправл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муниципальных органов), органов управления государственными вн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бюджетными фондами и казенных учреждений)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1 11 05430 10 0000 120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платы по договору купли-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43 567,9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использование лесов, расп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арендной платы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1 12 04014 02 0000 120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 платы по договору купли-продажи лесных насаждений для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39 625,0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повреждение специальных знаков)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учреждениями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полнения обязательств перед госуда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 органом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казенным учрежден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промышленности и 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записи актов гражданского состояния Кабинета Министров Ре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93 795,1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 уполномоченными орг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исполнительной власти субъектов Российской Федерации, связанных с выдачей документов о проведении го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ударственного технического осмотра тракторов, самоходных дорожно-строительных и иных самоходных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и прицепов к ним, государстве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ной регистрацией 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средств, прицепов, тракторов, сам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дорожно-строительных и иных самоходных машин, выдачей удостов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рений тракториста-машиниста (тракт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риста), временных удостоверений на право управления самоходными маш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нами, в том числе взамен утраченных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или пришедших в негодность (сумма платежа (перерасчеты, недоимка и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72 599,5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уполномоченными органами исполн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 организациям, осуществл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ющим образовательную деятельность, свидетельств о соответствии требов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 оборудования и оснащенности образовательного процесса для ра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смотрения вопроса соответствующими органами об аккредитации и о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ставлении указанным организациям лицензий на право подготовки тракт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ристов и машинистов самоходных 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(сумма платежа (перерасчеты, недоимка и задолженность по соотве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21 124,9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-266,4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мещения расходов, понесенных в связи с эксплуатацией имущества субъектов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324,6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20 715,9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пользование объектами животного мира и водными биологическими ресурсами без разр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ровольном возмещении вреда, прич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ненного окружающей среде на особо охраняемых природных территориях регионального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20 388,0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Инспекция государственного стро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82 640,4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43 561,4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Прочие доходы от компенсации затрат 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бюджетов субъектов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22 054,1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установленного порядка строительства, реконструкции, капитального ремонта объекта кап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тального строительства, ввода его в эксплуатацию)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15 159,0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ставщиком (подрядчиком, исполнит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1 680,7</w:t>
            </w:r>
          </w:p>
        </w:tc>
      </w:tr>
      <w:tr w:rsidR="00DC6BA2" w:rsidRPr="000F2F98" w:rsidTr="000F2F98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DC6BA2" w:rsidRPr="000F2F98" w:rsidRDefault="00DC6BA2" w:rsidP="00DC6BA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DC6BA2" w:rsidRPr="000F2F98" w:rsidRDefault="00DC6BA2" w:rsidP="00DC6BA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486 843 482,8</w:t>
            </w:r>
          </w:p>
        </w:tc>
      </w:tr>
    </w:tbl>
    <w:p w:rsidR="00B950B6" w:rsidRDefault="00B950B6" w:rsidP="003007D6"/>
    <w:sectPr w:rsidR="00B950B6" w:rsidSect="00695D2C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52" w:rsidRDefault="00404A52" w:rsidP="00695D2C">
      <w:pPr>
        <w:spacing w:after="0" w:line="240" w:lineRule="auto"/>
      </w:pPr>
      <w:r>
        <w:separator/>
      </w:r>
    </w:p>
  </w:endnote>
  <w:endnote w:type="continuationSeparator" w:id="0">
    <w:p w:rsidR="00404A52" w:rsidRDefault="00404A52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52" w:rsidRDefault="00404A52" w:rsidP="00695D2C">
      <w:pPr>
        <w:spacing w:after="0" w:line="240" w:lineRule="auto"/>
      </w:pPr>
      <w:r>
        <w:separator/>
      </w:r>
    </w:p>
  </w:footnote>
  <w:footnote w:type="continuationSeparator" w:id="0">
    <w:p w:rsidR="00404A52" w:rsidRDefault="00404A52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4A52" w:rsidRPr="00695D2C" w:rsidRDefault="00404A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5F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4A52" w:rsidRDefault="00404A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3077D"/>
    <w:rsid w:val="0008229E"/>
    <w:rsid w:val="000B7CEC"/>
    <w:rsid w:val="000D14C8"/>
    <w:rsid w:val="000F2F98"/>
    <w:rsid w:val="001515F0"/>
    <w:rsid w:val="001534F9"/>
    <w:rsid w:val="00155167"/>
    <w:rsid w:val="001A19C8"/>
    <w:rsid w:val="001C2CC2"/>
    <w:rsid w:val="001F5094"/>
    <w:rsid w:val="001F58B5"/>
    <w:rsid w:val="00201928"/>
    <w:rsid w:val="00240CBC"/>
    <w:rsid w:val="00242197"/>
    <w:rsid w:val="00255945"/>
    <w:rsid w:val="00255F9C"/>
    <w:rsid w:val="002E29F2"/>
    <w:rsid w:val="003007D6"/>
    <w:rsid w:val="00356D5D"/>
    <w:rsid w:val="0037406B"/>
    <w:rsid w:val="0039396F"/>
    <w:rsid w:val="00404A52"/>
    <w:rsid w:val="00432440"/>
    <w:rsid w:val="004414CC"/>
    <w:rsid w:val="004E6D30"/>
    <w:rsid w:val="0050259E"/>
    <w:rsid w:val="0055599E"/>
    <w:rsid w:val="00556935"/>
    <w:rsid w:val="00567CF3"/>
    <w:rsid w:val="00573057"/>
    <w:rsid w:val="005966BE"/>
    <w:rsid w:val="005B66E8"/>
    <w:rsid w:val="005C06A1"/>
    <w:rsid w:val="005C14EB"/>
    <w:rsid w:val="005C2E83"/>
    <w:rsid w:val="005D29C6"/>
    <w:rsid w:val="005E7B7D"/>
    <w:rsid w:val="005F6945"/>
    <w:rsid w:val="006008AA"/>
    <w:rsid w:val="006068FA"/>
    <w:rsid w:val="00613318"/>
    <w:rsid w:val="00683240"/>
    <w:rsid w:val="00686624"/>
    <w:rsid w:val="00695D2C"/>
    <w:rsid w:val="00730455"/>
    <w:rsid w:val="0073298A"/>
    <w:rsid w:val="00732C25"/>
    <w:rsid w:val="00737EA3"/>
    <w:rsid w:val="00796A97"/>
    <w:rsid w:val="007D1A22"/>
    <w:rsid w:val="007E1F43"/>
    <w:rsid w:val="008521F7"/>
    <w:rsid w:val="0086089D"/>
    <w:rsid w:val="00864FD5"/>
    <w:rsid w:val="00884D7D"/>
    <w:rsid w:val="00887895"/>
    <w:rsid w:val="008C35D9"/>
    <w:rsid w:val="008F5D38"/>
    <w:rsid w:val="009513F6"/>
    <w:rsid w:val="009724EA"/>
    <w:rsid w:val="009A2B74"/>
    <w:rsid w:val="009B019E"/>
    <w:rsid w:val="009C4C20"/>
    <w:rsid w:val="009E4643"/>
    <w:rsid w:val="009F0CCF"/>
    <w:rsid w:val="009F5DD0"/>
    <w:rsid w:val="00A0016E"/>
    <w:rsid w:val="00A83C48"/>
    <w:rsid w:val="00AA7014"/>
    <w:rsid w:val="00AD06A7"/>
    <w:rsid w:val="00AD2000"/>
    <w:rsid w:val="00B53CBD"/>
    <w:rsid w:val="00B70D60"/>
    <w:rsid w:val="00B767AE"/>
    <w:rsid w:val="00B90703"/>
    <w:rsid w:val="00B950B6"/>
    <w:rsid w:val="00BA4D71"/>
    <w:rsid w:val="00BB5268"/>
    <w:rsid w:val="00BC49C7"/>
    <w:rsid w:val="00BE3210"/>
    <w:rsid w:val="00BE4AB8"/>
    <w:rsid w:val="00C62C94"/>
    <w:rsid w:val="00C8472F"/>
    <w:rsid w:val="00D25E0E"/>
    <w:rsid w:val="00D35FD2"/>
    <w:rsid w:val="00D44530"/>
    <w:rsid w:val="00DB11C3"/>
    <w:rsid w:val="00DC5D08"/>
    <w:rsid w:val="00DC6BA2"/>
    <w:rsid w:val="00DC72E5"/>
    <w:rsid w:val="00E17267"/>
    <w:rsid w:val="00E1773E"/>
    <w:rsid w:val="00E24000"/>
    <w:rsid w:val="00E307AF"/>
    <w:rsid w:val="00E318CB"/>
    <w:rsid w:val="00E37A3C"/>
    <w:rsid w:val="00EA46F6"/>
    <w:rsid w:val="00ED4DC3"/>
    <w:rsid w:val="00EE23A0"/>
    <w:rsid w:val="00F13DD1"/>
    <w:rsid w:val="00F503CA"/>
    <w:rsid w:val="00F6767E"/>
    <w:rsid w:val="00F81C99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0FC3-72D2-481A-BE98-DB08EC78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137</Pages>
  <Words>34637</Words>
  <Characters>197434</Characters>
  <Application>Microsoft Office Word</Application>
  <DocSecurity>0</DocSecurity>
  <Lines>1645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92</cp:revision>
  <cp:lastPrinted>2021-03-31T13:14:00Z</cp:lastPrinted>
  <dcterms:created xsi:type="dcterms:W3CDTF">2018-02-22T13:36:00Z</dcterms:created>
  <dcterms:modified xsi:type="dcterms:W3CDTF">2024-04-23T09:00:00Z</dcterms:modified>
</cp:coreProperties>
</file>