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F6" w:rsidRPr="006235A7" w:rsidRDefault="001428F6" w:rsidP="0056014A">
      <w:pPr>
        <w:keepNext/>
        <w:ind w:left="5954"/>
      </w:pPr>
      <w:r w:rsidRPr="006235A7">
        <w:t>«20</w:t>
      </w:r>
      <w:r>
        <w:t>2</w:t>
      </w:r>
      <w:r w:rsidR="00514F50">
        <w:t>4</w:t>
      </w:r>
      <w:r>
        <w:rPr>
          <w:lang w:val="tt-RU"/>
        </w:rPr>
        <w:t xml:space="preserve"> </w:t>
      </w:r>
      <w:proofErr w:type="spellStart"/>
      <w:r w:rsidRPr="006235A7">
        <w:t>елгы</w:t>
      </w:r>
      <w:proofErr w:type="spellEnd"/>
      <w:r w:rsidRPr="006235A7">
        <w:t xml:space="preserve"> Татарстан </w:t>
      </w:r>
      <w:proofErr w:type="spellStart"/>
      <w:r w:rsidRPr="006235A7">
        <w:t>Республикасы</w:t>
      </w:r>
      <w:proofErr w:type="spellEnd"/>
      <w:r w:rsidRPr="006235A7">
        <w:t xml:space="preserve"> бюджеты </w:t>
      </w:r>
      <w:proofErr w:type="spellStart"/>
      <w:r w:rsidRPr="006235A7">
        <w:t>үтәлеше</w:t>
      </w:r>
      <w:proofErr w:type="spellEnd"/>
      <w:r w:rsidRPr="006235A7">
        <w:t xml:space="preserve"> </w:t>
      </w:r>
      <w:proofErr w:type="spellStart"/>
      <w:r w:rsidRPr="006235A7">
        <w:t>турында</w:t>
      </w:r>
      <w:proofErr w:type="spellEnd"/>
      <w:r w:rsidRPr="006235A7">
        <w:t xml:space="preserve">» Татарстан </w:t>
      </w:r>
      <w:proofErr w:type="spellStart"/>
      <w:r w:rsidRPr="006235A7">
        <w:t>Республикасы</w:t>
      </w:r>
      <w:proofErr w:type="spellEnd"/>
      <w:r w:rsidRPr="006235A7">
        <w:t xml:space="preserve"> </w:t>
      </w:r>
      <w:proofErr w:type="spellStart"/>
      <w:r w:rsidRPr="006235A7">
        <w:t>Законына</w:t>
      </w:r>
      <w:proofErr w:type="spellEnd"/>
      <w:r w:rsidRPr="006235A7">
        <w:t xml:space="preserve"> </w:t>
      </w:r>
    </w:p>
    <w:p w:rsidR="001D2156" w:rsidRPr="00560A29" w:rsidRDefault="001428F6" w:rsidP="0056014A">
      <w:pPr>
        <w:ind w:left="5954" w:right="-285"/>
        <w:rPr>
          <w:highlight w:val="yellow"/>
        </w:rPr>
      </w:pPr>
      <w:r>
        <w:t>4</w:t>
      </w:r>
      <w:r w:rsidRPr="006235A7">
        <w:t xml:space="preserve"> </w:t>
      </w:r>
      <w:proofErr w:type="spellStart"/>
      <w:r w:rsidRPr="006235A7">
        <w:t>нче</w:t>
      </w:r>
      <w:proofErr w:type="spellEnd"/>
      <w:r w:rsidRPr="006235A7">
        <w:t xml:space="preserve"> </w:t>
      </w:r>
      <w:proofErr w:type="spellStart"/>
      <w:r w:rsidRPr="006235A7">
        <w:t>кушымта</w:t>
      </w:r>
      <w:proofErr w:type="spellEnd"/>
    </w:p>
    <w:p w:rsidR="001D2156" w:rsidRPr="00E26904" w:rsidRDefault="001D2156" w:rsidP="001D2156">
      <w:pPr>
        <w:rPr>
          <w:sz w:val="28"/>
          <w:szCs w:val="28"/>
          <w:highlight w:val="yellow"/>
        </w:rPr>
      </w:pPr>
    </w:p>
    <w:p w:rsidR="001D2156" w:rsidRPr="00E26904" w:rsidRDefault="001D2156" w:rsidP="001D2156">
      <w:pPr>
        <w:rPr>
          <w:sz w:val="28"/>
          <w:szCs w:val="28"/>
          <w:highlight w:val="yellow"/>
        </w:rPr>
      </w:pPr>
    </w:p>
    <w:p w:rsidR="003B5F90" w:rsidRDefault="003B5F90" w:rsidP="003B5F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Бюджетлар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кытлыгын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финанслау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чыганаклары</w:t>
      </w:r>
      <w:proofErr w:type="spellEnd"/>
    </w:p>
    <w:p w:rsidR="003B5F90" w:rsidRDefault="003B5F90" w:rsidP="003B5F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классификациясе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кодлары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буенча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514F50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елгы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Татарстан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Республикасы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D2156" w:rsidRPr="00560A29" w:rsidRDefault="003B5F90" w:rsidP="003B5F90">
      <w:pPr>
        <w:jc w:val="center"/>
        <w:rPr>
          <w:sz w:val="28"/>
          <w:szCs w:val="28"/>
          <w:highlight w:val="yellow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бюджеты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кытлыгын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финанслау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чыганаклары</w:t>
      </w:r>
      <w:proofErr w:type="spellEnd"/>
      <w:r w:rsidR="001D2156" w:rsidRPr="00560A29">
        <w:rPr>
          <w:bCs/>
          <w:sz w:val="28"/>
          <w:szCs w:val="28"/>
          <w:highlight w:val="yellow"/>
        </w:rPr>
        <w:t xml:space="preserve"> </w:t>
      </w:r>
    </w:p>
    <w:p w:rsidR="001D2156" w:rsidRPr="00E26904" w:rsidRDefault="001D2156" w:rsidP="001D2156">
      <w:pPr>
        <w:rPr>
          <w:bCs/>
          <w:sz w:val="28"/>
          <w:szCs w:val="28"/>
          <w:highlight w:val="yellow"/>
        </w:rPr>
      </w:pPr>
    </w:p>
    <w:p w:rsidR="001D2156" w:rsidRPr="00237EBF" w:rsidRDefault="001D2156" w:rsidP="003B5F90">
      <w:pPr>
        <w:ind w:right="-285"/>
        <w:jc w:val="right"/>
      </w:pPr>
      <w:r w:rsidRPr="003B5F90">
        <w:rPr>
          <w:bCs/>
        </w:rPr>
        <w:t xml:space="preserve">                                                                                                                                        </w:t>
      </w:r>
      <w:r w:rsidR="00237EBF" w:rsidRPr="003B5F90">
        <w:t>(</w:t>
      </w:r>
      <w:proofErr w:type="spellStart"/>
      <w:r w:rsidR="00237EBF" w:rsidRPr="003B5F90">
        <w:rPr>
          <w:rFonts w:ascii="Times New Roman CYR" w:hAnsi="Times New Roman CYR" w:cs="Times New Roman CYR"/>
          <w:color w:val="000000"/>
        </w:rPr>
        <w:t>мең</w:t>
      </w:r>
      <w:proofErr w:type="spellEnd"/>
      <w:r w:rsidR="00237EBF" w:rsidRPr="003B5F90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237EBF" w:rsidRPr="003B5F90">
        <w:rPr>
          <w:rFonts w:ascii="Times New Roman CYR" w:hAnsi="Times New Roman CYR" w:cs="Times New Roman CYR"/>
          <w:color w:val="000000"/>
        </w:rPr>
        <w:t>сумнарда</w:t>
      </w:r>
      <w:proofErr w:type="spellEnd"/>
      <w:r w:rsidR="00237EBF" w:rsidRPr="003B5F90">
        <w:t>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9"/>
        <w:gridCol w:w="1417"/>
        <w:gridCol w:w="2694"/>
        <w:gridCol w:w="1842"/>
      </w:tblGrid>
      <w:tr w:rsidR="001D2156" w:rsidRPr="00560A29" w:rsidTr="00504B2F">
        <w:trPr>
          <w:cantSplit/>
          <w:trHeight w:val="255"/>
          <w:tblHeader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560A29" w:rsidRDefault="003B5F90" w:rsidP="003C167B">
            <w:pPr>
              <w:jc w:val="center"/>
              <w:rPr>
                <w:highlight w:val="yellow"/>
              </w:rPr>
            </w:pPr>
            <w:proofErr w:type="spellStart"/>
            <w:r w:rsidRPr="006607A9">
              <w:t>Күрсәткеч</w:t>
            </w:r>
            <w:proofErr w:type="spellEnd"/>
            <w:r w:rsidRPr="006607A9">
              <w:t xml:space="preserve"> </w:t>
            </w:r>
            <w:proofErr w:type="spellStart"/>
            <w:r w:rsidRPr="006607A9">
              <w:t>исеме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560A29" w:rsidRDefault="003B5F90" w:rsidP="003C167B">
            <w:pPr>
              <w:ind w:left="57" w:right="57"/>
              <w:jc w:val="center"/>
              <w:rPr>
                <w:highlight w:val="yellow"/>
              </w:rPr>
            </w:pPr>
            <w:r w:rsidRPr="006607A9">
              <w:t xml:space="preserve">Бюджет </w:t>
            </w:r>
            <w:proofErr w:type="spellStart"/>
            <w:r w:rsidRPr="006607A9">
              <w:t>классификациясе</w:t>
            </w:r>
            <w:proofErr w:type="spellEnd"/>
            <w:r w:rsidRPr="006607A9">
              <w:t xml:space="preserve"> коды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90" w:rsidRPr="006607A9" w:rsidRDefault="003B5F90" w:rsidP="003B5F90">
            <w:pPr>
              <w:jc w:val="center"/>
              <w:rPr>
                <w:lang w:val="tt-RU"/>
              </w:rPr>
            </w:pPr>
            <w:r w:rsidRPr="006607A9">
              <w:t>Касс</w:t>
            </w:r>
            <w:r w:rsidRPr="006607A9">
              <w:rPr>
                <w:lang w:val="tt-RU"/>
              </w:rPr>
              <w:t>а</w:t>
            </w:r>
          </w:p>
          <w:p w:rsidR="001D2156" w:rsidRPr="00560A29" w:rsidRDefault="003B5F90" w:rsidP="003B5F90">
            <w:pPr>
              <w:jc w:val="center"/>
              <w:rPr>
                <w:highlight w:val="yellow"/>
              </w:rPr>
            </w:pPr>
            <w:r w:rsidRPr="006607A9">
              <w:rPr>
                <w:lang w:val="tt-RU"/>
              </w:rPr>
              <w:t>үтәлеше</w:t>
            </w:r>
          </w:p>
        </w:tc>
      </w:tr>
      <w:tr w:rsidR="001D2156" w:rsidRPr="00560A29" w:rsidTr="00504B2F">
        <w:trPr>
          <w:cantSplit/>
          <w:trHeight w:val="840"/>
          <w:tblHeader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560A29" w:rsidRDefault="001D2156" w:rsidP="003C167B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560A29" w:rsidRDefault="003B5F90" w:rsidP="003C167B">
            <w:pPr>
              <w:ind w:left="57" w:right="57"/>
              <w:jc w:val="center"/>
              <w:rPr>
                <w:highlight w:val="yellow"/>
              </w:rPr>
            </w:pPr>
            <w:proofErr w:type="spellStart"/>
            <w:r w:rsidRPr="006607A9">
              <w:t>керемнәр</w:t>
            </w:r>
            <w:proofErr w:type="spellEnd"/>
            <w:r w:rsidRPr="006607A9">
              <w:t xml:space="preserve"> </w:t>
            </w:r>
            <w:proofErr w:type="spellStart"/>
            <w:r w:rsidRPr="006607A9">
              <w:t>администра</w:t>
            </w:r>
            <w:r w:rsidR="00504B2F">
              <w:t>-</w:t>
            </w:r>
            <w:r w:rsidRPr="006607A9">
              <w:t>торы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560A29" w:rsidRDefault="003B5F90" w:rsidP="003C167B">
            <w:pPr>
              <w:ind w:left="57" w:right="57"/>
              <w:jc w:val="center"/>
              <w:rPr>
                <w:highlight w:val="yellow"/>
              </w:rPr>
            </w:pPr>
            <w:r w:rsidRPr="006607A9">
              <w:t xml:space="preserve">Татарстан </w:t>
            </w:r>
            <w:proofErr w:type="spellStart"/>
            <w:r w:rsidRPr="006607A9">
              <w:t>Республикасы</w:t>
            </w:r>
            <w:proofErr w:type="spellEnd"/>
            <w:r w:rsidRPr="006607A9">
              <w:t xml:space="preserve"> бюджеты </w:t>
            </w:r>
            <w:proofErr w:type="spellStart"/>
            <w:r w:rsidRPr="006607A9">
              <w:t>кытлыгын</w:t>
            </w:r>
            <w:proofErr w:type="spellEnd"/>
            <w:r w:rsidRPr="006607A9">
              <w:t xml:space="preserve"> </w:t>
            </w:r>
            <w:proofErr w:type="spellStart"/>
            <w:r w:rsidRPr="006607A9">
              <w:t>финанслау</w:t>
            </w:r>
            <w:proofErr w:type="spellEnd"/>
            <w:r w:rsidRPr="006607A9">
              <w:t xml:space="preserve"> </w:t>
            </w:r>
            <w:proofErr w:type="spellStart"/>
            <w:r w:rsidRPr="006607A9">
              <w:t>чыганаклары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560A29" w:rsidRDefault="001D2156" w:rsidP="003C167B">
            <w:pPr>
              <w:jc w:val="right"/>
              <w:rPr>
                <w:rFonts w:eastAsia="Arial Unicode MS"/>
                <w:bCs/>
                <w:highlight w:val="yellow"/>
              </w:rPr>
            </w:pP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proofErr w:type="spellStart"/>
            <w:r w:rsidRPr="00504B2F">
              <w:t>Барлык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чыганаклар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-15 970 982,8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Татарстан </w:t>
            </w:r>
            <w:proofErr w:type="spellStart"/>
            <w:r w:rsidRPr="00504B2F">
              <w:t>Республикасы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министрлыгы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-15 970 731,9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6C04B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системасының</w:t>
            </w:r>
            <w:proofErr w:type="spellEnd"/>
            <w:r w:rsidRPr="00504B2F">
              <w:t xml:space="preserve"> башка </w:t>
            </w:r>
            <w:proofErr w:type="spellStart"/>
            <w:r w:rsidRPr="00504B2F">
              <w:t>бюджетларыннан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ва</w:t>
            </w:r>
            <w:bookmarkStart w:id="0" w:name="_GoBack"/>
            <w:bookmarkEnd w:id="0"/>
            <w:r w:rsidRPr="00504B2F">
              <w:t>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алынган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кредитларны</w:t>
            </w:r>
            <w:proofErr w:type="spellEnd"/>
            <w:r w:rsidRPr="00504B2F">
              <w:t xml:space="preserve"> Россия 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бюджетларыннан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каплау</w:t>
            </w:r>
            <w:proofErr w:type="spellEnd"/>
            <w:r w:rsidRPr="00504B2F">
              <w:t xml:space="preserve"> (Россия 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бирелгән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кредитлары</w:t>
            </w:r>
            <w:proofErr w:type="spellEnd"/>
            <w:r w:rsidRPr="00504B2F">
              <w:t xml:space="preserve">, </w:t>
            </w:r>
            <w:proofErr w:type="spellStart"/>
            <w:r w:rsidRPr="00504B2F">
              <w:t>бердәм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счетында</w:t>
            </w:r>
            <w:proofErr w:type="spellEnd"/>
            <w:r w:rsidRPr="00504B2F">
              <w:t xml:space="preserve"> калган </w:t>
            </w:r>
            <w:proofErr w:type="spellStart"/>
            <w:r w:rsidRPr="00504B2F">
              <w:t>акчаларны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тулыландыруга</w:t>
            </w:r>
            <w:proofErr w:type="spellEnd"/>
            <w:r w:rsidRPr="00504B2F">
              <w:t xml:space="preserve">, инфраструктура </w:t>
            </w:r>
            <w:proofErr w:type="spellStart"/>
            <w:r w:rsidRPr="00504B2F">
              <w:t>проектларын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гамәлгә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ашыруны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белән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тәэмин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итүгә</w:t>
            </w:r>
            <w:proofErr w:type="spellEnd"/>
            <w:r w:rsidRPr="00504B2F">
              <w:t xml:space="preserve">,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субъектларының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чыгым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йөкләмәләрен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алдан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белән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тәэмин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итү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максатларында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бирелгән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кредитлары</w:t>
            </w:r>
            <w:proofErr w:type="spellEnd"/>
            <w:r w:rsidRPr="00504B2F">
              <w:t xml:space="preserve">, </w:t>
            </w:r>
            <w:proofErr w:type="spellStart"/>
            <w:r w:rsidRPr="00504B2F">
              <w:t>ма</w:t>
            </w:r>
            <w:r w:rsidR="006C04BF">
              <w:t>хсус</w:t>
            </w:r>
            <w:proofErr w:type="spellEnd"/>
            <w:r w:rsidR="006C04BF">
              <w:t xml:space="preserve"> </w:t>
            </w:r>
            <w:proofErr w:type="spellStart"/>
            <w:r w:rsidR="006C04BF">
              <w:t>казначылык</w:t>
            </w:r>
            <w:proofErr w:type="spellEnd"/>
            <w:r w:rsidR="006C04BF">
              <w:t xml:space="preserve"> </w:t>
            </w:r>
            <w:proofErr w:type="spellStart"/>
            <w:r w:rsidR="006C04BF">
              <w:t>кредитлары</w:t>
            </w:r>
            <w:proofErr w:type="spellEnd"/>
            <w:r w:rsidR="006C04BF">
              <w:rPr>
                <w:lang w:val="tt-RU"/>
              </w:rPr>
              <w:t>ннан тыш</w:t>
            </w:r>
            <w:r w:rsidRPr="00504B2F">
              <w:t>),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01 03 01 00 02 0001 810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-29 022,0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Default="00504B2F" w:rsidP="00504B2F">
            <w:pPr>
              <w:spacing w:after="80"/>
              <w:ind w:left="57" w:right="57"/>
              <w:jc w:val="both"/>
              <w:outlineLvl w:val="3"/>
            </w:pPr>
            <w:proofErr w:type="spellStart"/>
            <w:r w:rsidRPr="00504B2F">
              <w:t>шул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исәптән</w:t>
            </w:r>
            <w:proofErr w:type="spellEnd"/>
            <w:r w:rsidRPr="00504B2F">
              <w:t xml:space="preserve">: </w:t>
            </w:r>
          </w:p>
          <w:p w:rsidR="00504B2F" w:rsidRPr="00504B2F" w:rsidRDefault="002652C6" w:rsidP="00504B2F">
            <w:pPr>
              <w:spacing w:after="80"/>
              <w:ind w:left="57" w:right="57"/>
              <w:jc w:val="both"/>
              <w:outlineLvl w:val="3"/>
            </w:pPr>
            <w:proofErr w:type="spellStart"/>
            <w:r w:rsidRPr="00264D3A">
              <w:t>федераль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бюджеттан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бү</w:t>
            </w:r>
            <w:r>
              <w:t>леп</w:t>
            </w:r>
            <w:proofErr w:type="spellEnd"/>
            <w:r>
              <w:t xml:space="preserve"> </w:t>
            </w:r>
            <w:proofErr w:type="spellStart"/>
            <w:r>
              <w:t>бирелгән</w:t>
            </w:r>
            <w:proofErr w:type="spellEnd"/>
            <w:r>
              <w:t xml:space="preserve"> </w:t>
            </w:r>
            <w:proofErr w:type="spellStart"/>
            <w:r>
              <w:t>һәм</w:t>
            </w:r>
            <w:proofErr w:type="spellEnd"/>
            <w:r>
              <w:rPr>
                <w:lang w:val="tt-RU"/>
              </w:rPr>
              <w:t xml:space="preserve"> </w:t>
            </w:r>
            <w:r w:rsidRPr="00264D3A">
              <w:t xml:space="preserve">«Россия </w:t>
            </w:r>
            <w:proofErr w:type="spellStart"/>
            <w:r w:rsidRPr="00264D3A">
              <w:t>Федерациясе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субъектларының</w:t>
            </w:r>
            <w:proofErr w:type="spellEnd"/>
            <w:r w:rsidRPr="00264D3A">
              <w:t xml:space="preserve"> </w:t>
            </w:r>
            <w:r>
              <w:t xml:space="preserve">Россия </w:t>
            </w:r>
            <w:proofErr w:type="spellStart"/>
            <w:r>
              <w:t>Федерациясе</w:t>
            </w:r>
            <w:proofErr w:type="spellEnd"/>
            <w:r>
              <w:t xml:space="preserve"> </w:t>
            </w:r>
            <w:proofErr w:type="spellStart"/>
            <w:r>
              <w:t>алдында</w:t>
            </w:r>
            <w:proofErr w:type="spellEnd"/>
            <w:r>
              <w:rPr>
                <w:lang w:val="tt-RU"/>
              </w:rPr>
              <w:t xml:space="preserve"> </w:t>
            </w:r>
            <w:r w:rsidRPr="00264D3A">
              <w:t xml:space="preserve">бюджет </w:t>
            </w:r>
            <w:proofErr w:type="spellStart"/>
            <w:r w:rsidRPr="00264D3A">
              <w:t>кредитлары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буенча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йөкләмәләренә</w:t>
            </w:r>
            <w:proofErr w:type="spellEnd"/>
            <w:r w:rsidRPr="00264D3A">
              <w:t xml:space="preserve"> (</w:t>
            </w:r>
            <w:proofErr w:type="spellStart"/>
            <w:r w:rsidRPr="00264D3A">
              <w:t>бурычларына</w:t>
            </w:r>
            <w:proofErr w:type="spellEnd"/>
            <w:r w:rsidRPr="00264D3A">
              <w:t xml:space="preserve">) реструктуризация </w:t>
            </w:r>
            <w:proofErr w:type="spellStart"/>
            <w:r w:rsidRPr="00264D3A">
              <w:t>үткәрүнең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өстәмә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шартлары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һәм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тәртибе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турында</w:t>
            </w:r>
            <w:proofErr w:type="spellEnd"/>
            <w:r w:rsidRPr="00264D3A">
              <w:t xml:space="preserve">» Россия </w:t>
            </w:r>
            <w:proofErr w:type="spellStart"/>
            <w:r w:rsidRPr="00264D3A">
              <w:t>Федерациясе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Хөкүмәтенең</w:t>
            </w:r>
            <w:proofErr w:type="spellEnd"/>
            <w:r w:rsidRPr="00264D3A">
              <w:t xml:space="preserve"> </w:t>
            </w:r>
            <w:r w:rsidR="00A619F7">
              <w:rPr>
                <w:lang w:val="tt-RU"/>
              </w:rPr>
              <w:t xml:space="preserve">                  </w:t>
            </w:r>
            <w:r w:rsidRPr="00264D3A">
              <w:t>2012</w:t>
            </w:r>
            <w:r>
              <w:t xml:space="preserve"> </w:t>
            </w:r>
            <w:proofErr w:type="spellStart"/>
            <w:r>
              <w:t>елның</w:t>
            </w:r>
            <w:proofErr w:type="spellEnd"/>
            <w:r>
              <w:rPr>
                <w:lang w:val="tt-RU"/>
              </w:rPr>
              <w:t xml:space="preserve"> </w:t>
            </w:r>
            <w:r w:rsidRPr="00264D3A">
              <w:t xml:space="preserve">18 </w:t>
            </w:r>
            <w:proofErr w:type="spellStart"/>
            <w:r w:rsidRPr="00264D3A">
              <w:t>декабрендәге</w:t>
            </w:r>
            <w:proofErr w:type="spellEnd"/>
            <w:r w:rsidRPr="00264D3A">
              <w:t xml:space="preserve"> 1325 </w:t>
            </w:r>
            <w:proofErr w:type="spellStart"/>
            <w:r w:rsidRPr="00264D3A">
              <w:t>номерлы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карары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нигезендә</w:t>
            </w:r>
            <w:proofErr w:type="spellEnd"/>
            <w:r w:rsidRPr="00264D3A">
              <w:t xml:space="preserve"> реструктуризация </w:t>
            </w:r>
            <w:proofErr w:type="spellStart"/>
            <w:r w:rsidRPr="00264D3A">
              <w:t>үткән</w:t>
            </w:r>
            <w:proofErr w:type="spellEnd"/>
            <w:r w:rsidRPr="00264D3A">
              <w:t xml:space="preserve"> бюджет </w:t>
            </w:r>
            <w:proofErr w:type="spellStart"/>
            <w:r w:rsidRPr="00264D3A">
              <w:t>кредитлары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буенча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реструктуризацияләнгән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бурычны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каплауга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юнәлдерелә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торган</w:t>
            </w:r>
            <w:proofErr w:type="spellEnd"/>
            <w:r w:rsidRPr="00264D3A">
              <w:t xml:space="preserve"> </w:t>
            </w:r>
            <w:proofErr w:type="spellStart"/>
            <w:r w:rsidRPr="00264D3A">
              <w:t>акчалар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01 03 01 00 02 0001 810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-29 022,0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lastRenderedPageBreak/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системасының</w:t>
            </w:r>
            <w:proofErr w:type="spellEnd"/>
            <w:r w:rsidRPr="00504B2F">
              <w:t xml:space="preserve"> башка </w:t>
            </w:r>
            <w:proofErr w:type="spellStart"/>
            <w:r w:rsidRPr="00504B2F">
              <w:t>бюджетларыннан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валютасында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алынган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кредитларны</w:t>
            </w:r>
            <w:proofErr w:type="spellEnd"/>
            <w:r w:rsidRPr="00504B2F">
              <w:t xml:space="preserve"> Россия 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бюджетларыннан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каплау</w:t>
            </w:r>
            <w:proofErr w:type="spellEnd"/>
            <w:r w:rsidRPr="00504B2F">
              <w:t xml:space="preserve"> (Россия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бюджетларына</w:t>
            </w:r>
            <w:proofErr w:type="spellEnd"/>
            <w:r w:rsidRPr="00504B2F">
              <w:t xml:space="preserve"> инфраструктура </w:t>
            </w:r>
            <w:proofErr w:type="spellStart"/>
            <w:r w:rsidRPr="00504B2F">
              <w:t>проектларын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гамәлгә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ашыруны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белән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тәэмин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итүгә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бирелгән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кредитлары</w:t>
            </w:r>
            <w:proofErr w:type="spellEnd"/>
            <w:r w:rsidRPr="00504B2F">
              <w:t>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01 03 01 00 02 2700 810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-1 020 218,6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системасының</w:t>
            </w:r>
            <w:proofErr w:type="spellEnd"/>
            <w:r w:rsidRPr="00504B2F">
              <w:t xml:space="preserve"> башка </w:t>
            </w:r>
            <w:proofErr w:type="spellStart"/>
            <w:r w:rsidRPr="00504B2F">
              <w:t>бюджетларыннан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валютасында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алынган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кредитларны</w:t>
            </w:r>
            <w:proofErr w:type="spellEnd"/>
            <w:r w:rsidRPr="00504B2F">
              <w:t xml:space="preserve"> Россия 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бюджетларыннан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каплау</w:t>
            </w:r>
            <w:proofErr w:type="spellEnd"/>
            <w:r w:rsidRPr="00504B2F">
              <w:t xml:space="preserve"> (Россия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дәүләт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программаларының</w:t>
            </w:r>
            <w:proofErr w:type="spellEnd"/>
            <w:r w:rsidRPr="00504B2F">
              <w:t xml:space="preserve">, </w:t>
            </w:r>
            <w:proofErr w:type="spellStart"/>
            <w:r w:rsidRPr="00504B2F">
              <w:t>илкүләм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проектлар</w:t>
            </w:r>
            <w:proofErr w:type="spellEnd"/>
            <w:r w:rsidRPr="00504B2F">
              <w:t xml:space="preserve"> (</w:t>
            </w:r>
            <w:proofErr w:type="spellStart"/>
            <w:r w:rsidRPr="00504B2F">
              <w:t>программалар</w:t>
            </w:r>
            <w:proofErr w:type="spellEnd"/>
            <w:r w:rsidRPr="00504B2F">
              <w:t xml:space="preserve">) </w:t>
            </w:r>
            <w:proofErr w:type="spellStart"/>
            <w:r w:rsidRPr="00504B2F">
              <w:t>составына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керүче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федераль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проектларның</w:t>
            </w:r>
            <w:proofErr w:type="spellEnd"/>
            <w:r w:rsidRPr="00504B2F">
              <w:t xml:space="preserve">, магистраль </w:t>
            </w:r>
            <w:proofErr w:type="spellStart"/>
            <w:r w:rsidRPr="00504B2F">
              <w:t>инфраструктураны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модернизацияләүнең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һәм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киңәйтүнең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комплекслы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планының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максатларына</w:t>
            </w:r>
            <w:proofErr w:type="spellEnd"/>
            <w:r w:rsidRPr="00504B2F">
              <w:t xml:space="preserve">, </w:t>
            </w:r>
            <w:proofErr w:type="spellStart"/>
            <w:r w:rsidRPr="00504B2F">
              <w:t>күрсәткечләренә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һәм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нәтиҗәләренә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ирешүне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тәэмин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итә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торган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чараларны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гамәлгә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ашыру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максатларында</w:t>
            </w:r>
            <w:proofErr w:type="spellEnd"/>
            <w:r w:rsidRPr="00504B2F">
              <w:t xml:space="preserve"> кабул </w:t>
            </w:r>
            <w:proofErr w:type="spellStart"/>
            <w:r w:rsidRPr="00504B2F">
              <w:t>ителә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торган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субъектларының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чыгым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йөкләмәләрен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алдан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белән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тәэмин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итү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максатларында</w:t>
            </w:r>
            <w:proofErr w:type="spellEnd"/>
            <w:r w:rsidRPr="00504B2F">
              <w:t xml:space="preserve"> бюджет </w:t>
            </w:r>
            <w:proofErr w:type="spellStart"/>
            <w:r w:rsidRPr="00504B2F">
              <w:t>кредитлары</w:t>
            </w:r>
            <w:proofErr w:type="spellEnd"/>
            <w:r w:rsidRPr="00504B2F">
              <w:t>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01 03 01 00 02 5600 810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-14 969 108,8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арттыру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01 05 02 01 02 0000 510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-3 025 395 783,1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киметү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01 05 02 01 02 0000 610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3 033 443 400,6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766539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милкендәге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активларын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валютасында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һәм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чит</w:t>
            </w:r>
            <w:proofErr w:type="spellEnd"/>
            <w:r w:rsidRPr="00504B2F">
              <w:t xml:space="preserve"> ил </w:t>
            </w:r>
            <w:proofErr w:type="spellStart"/>
            <w:r w:rsidRPr="00504B2F">
              <w:t>валютасында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депозитларда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урнаштырылган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акчалары</w:t>
            </w:r>
            <w:proofErr w:type="spellEnd"/>
            <w:r w:rsidRPr="00504B2F">
              <w:t xml:space="preserve"> </w:t>
            </w:r>
            <w:r w:rsidR="00766539">
              <w:rPr>
                <w:lang w:val="tt-RU"/>
              </w:rPr>
              <w:t>исәбеннән</w:t>
            </w:r>
            <w:r w:rsidRPr="00504B2F">
              <w:t xml:space="preserve"> </w:t>
            </w:r>
            <w:proofErr w:type="spellStart"/>
            <w:r w:rsidRPr="00504B2F">
              <w:t>арттыру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01 06 10 01 02 0000 510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-1 238 470 000,0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694A93">
            <w:pPr>
              <w:spacing w:after="80"/>
              <w:ind w:left="57" w:right="57"/>
              <w:jc w:val="both"/>
              <w:outlineLvl w:val="3"/>
            </w:pPr>
            <w:r w:rsidRPr="00504B2F">
              <w:lastRenderedPageBreak/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милкендәге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финанс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активларын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валютасында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һәм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чит</w:t>
            </w:r>
            <w:proofErr w:type="spellEnd"/>
            <w:r w:rsidRPr="00504B2F">
              <w:t xml:space="preserve"> ил </w:t>
            </w:r>
            <w:proofErr w:type="spellStart"/>
            <w:r w:rsidRPr="00504B2F">
              <w:t>валютасында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депозитларда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урнаштырылган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акчалары</w:t>
            </w:r>
            <w:proofErr w:type="spellEnd"/>
            <w:r w:rsidRPr="00504B2F">
              <w:t xml:space="preserve"> </w:t>
            </w:r>
            <w:r w:rsidR="00694A93">
              <w:rPr>
                <w:lang w:val="tt-RU"/>
              </w:rPr>
              <w:t>исәбеннән</w:t>
            </w:r>
            <w:r w:rsidRPr="00504B2F">
              <w:t xml:space="preserve"> </w:t>
            </w:r>
            <w:proofErr w:type="spellStart"/>
            <w:r w:rsidRPr="00504B2F">
              <w:t>киметү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01 06 10 01 02 0000 610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1 230 470 000,0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Татарстан </w:t>
            </w:r>
            <w:proofErr w:type="spellStart"/>
            <w:r w:rsidRPr="00504B2F">
              <w:t>Республикасы</w:t>
            </w:r>
            <w:proofErr w:type="spellEnd"/>
            <w:r w:rsidRPr="00504B2F">
              <w:t xml:space="preserve"> Архив </w:t>
            </w:r>
            <w:proofErr w:type="spellStart"/>
            <w:r w:rsidRPr="00504B2F">
              <w:t>эше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буенча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дәүләт</w:t>
            </w:r>
            <w:proofErr w:type="spellEnd"/>
            <w:r w:rsidRPr="00504B2F">
              <w:t xml:space="preserve"> комитеты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473,3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арттыру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01 05 02 01 02 0000 510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-521,2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киметү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01 05 02 01 02 0000 610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1 013,0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акчалары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буенча</w:t>
            </w:r>
            <w:proofErr w:type="spellEnd"/>
            <w:r w:rsidRPr="00504B2F">
              <w:t xml:space="preserve"> курс </w:t>
            </w:r>
            <w:proofErr w:type="spellStart"/>
            <w:r w:rsidRPr="00504B2F">
              <w:t>аермасы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717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01 06 03 00 02 0000 171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-18,5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Татарстан </w:t>
            </w:r>
            <w:proofErr w:type="spellStart"/>
            <w:r w:rsidRPr="00504B2F">
              <w:t>Республикасы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Үзәк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сайлау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комиссиясе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729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0,0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арттыру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729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01 05 02 01 02 0000 510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-516 424,6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киметү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729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01 05 02 01 02 0000 610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516 424,6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Татарстан </w:t>
            </w:r>
            <w:proofErr w:type="spellStart"/>
            <w:r w:rsidRPr="00504B2F">
              <w:t>Республикасы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Сәнәгать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һәм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сәүдә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министрлыгы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757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-724,2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арттыру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757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01 05 02 01 02 0000 510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-99 521,3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бюджетларының</w:t>
            </w:r>
            <w:proofErr w:type="spellEnd"/>
            <w:r w:rsidRPr="00504B2F">
              <w:t xml:space="preserve"> калган башка </w:t>
            </w:r>
            <w:proofErr w:type="spellStart"/>
            <w:r w:rsidRPr="00504B2F">
              <w:t>акчаларын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киметү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757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01 05 02 01 02 0000 610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99 521,3</w:t>
            </w:r>
          </w:p>
        </w:tc>
      </w:tr>
      <w:tr w:rsidR="00504B2F" w:rsidTr="00504B2F">
        <w:trPr>
          <w:cantSplit/>
        </w:trPr>
        <w:tc>
          <w:tcPr>
            <w:tcW w:w="4679" w:type="dxa"/>
            <w:shd w:val="clear" w:color="auto" w:fill="auto"/>
          </w:tcPr>
          <w:p w:rsidR="00504B2F" w:rsidRPr="00504B2F" w:rsidRDefault="00504B2F" w:rsidP="00504B2F">
            <w:pPr>
              <w:spacing w:after="80"/>
              <w:ind w:left="57" w:right="57"/>
              <w:jc w:val="both"/>
              <w:outlineLvl w:val="3"/>
            </w:pPr>
            <w:r w:rsidRPr="00504B2F">
              <w:t xml:space="preserve">Россия </w:t>
            </w:r>
            <w:proofErr w:type="spellStart"/>
            <w:r w:rsidRPr="00504B2F">
              <w:t>Федерациясе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субъектлары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бюджетлары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акчалары</w:t>
            </w:r>
            <w:proofErr w:type="spellEnd"/>
            <w:r w:rsidRPr="00504B2F">
              <w:t xml:space="preserve"> </w:t>
            </w:r>
            <w:proofErr w:type="spellStart"/>
            <w:r w:rsidRPr="00504B2F">
              <w:t>буенча</w:t>
            </w:r>
            <w:proofErr w:type="spellEnd"/>
            <w:r w:rsidRPr="00504B2F">
              <w:t xml:space="preserve"> курс </w:t>
            </w:r>
            <w:proofErr w:type="spellStart"/>
            <w:r w:rsidRPr="00504B2F">
              <w:t>аермасы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</w:pPr>
            <w:r w:rsidRPr="00504B2F">
              <w:t>757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center"/>
              <w:outlineLvl w:val="3"/>
            </w:pPr>
            <w:r w:rsidRPr="00504B2F">
              <w:t>01 06 03 00 02 0000 171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04B2F" w:rsidRPr="00504B2F" w:rsidRDefault="00504B2F" w:rsidP="00504B2F">
            <w:pPr>
              <w:spacing w:after="8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04B2F">
              <w:rPr>
                <w:rFonts w:eastAsia="Arial Unicode MS"/>
              </w:rPr>
              <w:t>-724,2</w:t>
            </w:r>
          </w:p>
        </w:tc>
      </w:tr>
    </w:tbl>
    <w:p w:rsidR="00514F50" w:rsidRDefault="00514F50"/>
    <w:p w:rsidR="00560A29" w:rsidRDefault="00560A29"/>
    <w:sectPr w:rsidR="00560A29" w:rsidSect="004E18BB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6662449"/>
      <w:docPartObj>
        <w:docPartGallery w:val="Page Numbers (Top of Page)"/>
        <w:docPartUnique/>
      </w:docPartObj>
    </w:sdtPr>
    <w:sdtContent>
      <w:p w:rsidR="004E18BB" w:rsidRDefault="00AF5F8D">
        <w:pPr>
          <w:pStyle w:val="a8"/>
          <w:jc w:val="center"/>
        </w:pPr>
        <w:r>
          <w:fldChar w:fldCharType="begin"/>
        </w:r>
        <w:r w:rsidR="004E18BB">
          <w:instrText>PAGE   \* MERGEFORMAT</w:instrText>
        </w:r>
        <w:r>
          <w:fldChar w:fldCharType="separate"/>
        </w:r>
        <w:r w:rsidR="0056014A">
          <w:rPr>
            <w:noProof/>
          </w:rPr>
          <w:t>3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156"/>
    <w:rsid w:val="000B7CEC"/>
    <w:rsid w:val="00122AB5"/>
    <w:rsid w:val="001428F6"/>
    <w:rsid w:val="00146AED"/>
    <w:rsid w:val="00156FD6"/>
    <w:rsid w:val="001D2156"/>
    <w:rsid w:val="00222F8B"/>
    <w:rsid w:val="00237EBF"/>
    <w:rsid w:val="002652C6"/>
    <w:rsid w:val="003056B0"/>
    <w:rsid w:val="003B5F90"/>
    <w:rsid w:val="004E18BB"/>
    <w:rsid w:val="00504B2F"/>
    <w:rsid w:val="00514F50"/>
    <w:rsid w:val="00533D0F"/>
    <w:rsid w:val="0056014A"/>
    <w:rsid w:val="00560A29"/>
    <w:rsid w:val="00566D04"/>
    <w:rsid w:val="00690F85"/>
    <w:rsid w:val="00694A93"/>
    <w:rsid w:val="006C04BF"/>
    <w:rsid w:val="00762D34"/>
    <w:rsid w:val="00766539"/>
    <w:rsid w:val="00791D8C"/>
    <w:rsid w:val="0081173C"/>
    <w:rsid w:val="009E3908"/>
    <w:rsid w:val="00A619F7"/>
    <w:rsid w:val="00AF16A2"/>
    <w:rsid w:val="00AF5F8D"/>
    <w:rsid w:val="00D042F1"/>
    <w:rsid w:val="00DA0A0A"/>
    <w:rsid w:val="00DD63A2"/>
    <w:rsid w:val="00E26904"/>
    <w:rsid w:val="00ED4DC3"/>
    <w:rsid w:val="00F209C6"/>
    <w:rsid w:val="00FC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muhametshin.rustem</cp:lastModifiedBy>
  <cp:revision>34</cp:revision>
  <cp:lastPrinted>2022-03-22T06:11:00Z</cp:lastPrinted>
  <dcterms:created xsi:type="dcterms:W3CDTF">2018-02-22T13:43:00Z</dcterms:created>
  <dcterms:modified xsi:type="dcterms:W3CDTF">2025-05-28T13:17:00Z</dcterms:modified>
</cp:coreProperties>
</file>