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DA6B5A" w:rsidRDefault="00DA6B5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P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CF2F76" w:rsidRDefault="00CF2F76" w:rsidP="001557A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4608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:rsidR="00E366F4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</w:p>
    <w:p w:rsidR="00E366F4" w:rsidRDefault="00E366F4" w:rsidP="00E366F4">
      <w:pPr>
        <w:pStyle w:val="2"/>
        <w:spacing w:line="276" w:lineRule="auto"/>
      </w:pPr>
    </w:p>
    <w:p w:rsidR="009C7BE2" w:rsidRDefault="00E366F4" w:rsidP="001557AE">
      <w:pPr>
        <w:pStyle w:val="2"/>
        <w:spacing w:line="276" w:lineRule="auto"/>
        <w:ind w:firstLine="709"/>
      </w:pPr>
      <w:r>
        <w:t>Департамент казначейства Министерства финансов Республики Татарстан по итогам отк</w:t>
      </w:r>
      <w:r w:rsidR="00F15110">
        <w:t xml:space="preserve">рытого конкурса, состоявшегося </w:t>
      </w:r>
      <w:r w:rsidR="00447FA5">
        <w:t>03 августа</w:t>
      </w:r>
      <w:r w:rsidR="00204D49">
        <w:t xml:space="preserve"> 2016</w:t>
      </w:r>
      <w:r>
        <w:t xml:space="preserve"> года на право быть включенным в кадровый резерв</w:t>
      </w:r>
      <w:r w:rsidR="009C7BE2">
        <w:t>:</w:t>
      </w:r>
    </w:p>
    <w:p w:rsidR="009468CC" w:rsidRDefault="00DC7BC2" w:rsidP="001557AE">
      <w:pPr>
        <w:pStyle w:val="3"/>
        <w:spacing w:after="0" w:line="276" w:lineRule="auto"/>
        <w:jc w:val="both"/>
        <w:rPr>
          <w:sz w:val="28"/>
          <w:szCs w:val="28"/>
        </w:rPr>
      </w:pPr>
      <w:r>
        <w:t xml:space="preserve"> </w:t>
      </w:r>
      <w:r>
        <w:tab/>
      </w:r>
      <w:r w:rsidR="007F05A1" w:rsidRPr="007F05A1">
        <w:rPr>
          <w:sz w:val="28"/>
          <w:szCs w:val="28"/>
        </w:rPr>
        <w:t>Ведущей</w:t>
      </w:r>
      <w:r w:rsidR="00204D49" w:rsidRPr="007F05A1">
        <w:rPr>
          <w:sz w:val="28"/>
          <w:szCs w:val="28"/>
        </w:rPr>
        <w:t xml:space="preserve"> </w:t>
      </w:r>
      <w:r w:rsidR="00204D49" w:rsidRPr="00204D49">
        <w:rPr>
          <w:sz w:val="28"/>
          <w:szCs w:val="28"/>
        </w:rPr>
        <w:t>группы</w:t>
      </w:r>
      <w:r w:rsidRPr="00DC7BC2">
        <w:rPr>
          <w:sz w:val="28"/>
          <w:szCs w:val="28"/>
        </w:rPr>
        <w:t xml:space="preserve"> </w:t>
      </w:r>
      <w:r w:rsidR="00204D49">
        <w:rPr>
          <w:sz w:val="28"/>
          <w:szCs w:val="28"/>
        </w:rPr>
        <w:t xml:space="preserve">должностей </w:t>
      </w:r>
      <w:r w:rsidR="007F05A1">
        <w:rPr>
          <w:sz w:val="28"/>
          <w:szCs w:val="28"/>
        </w:rPr>
        <w:t xml:space="preserve">отдела регионального контроля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204D49">
        <w:rPr>
          <w:sz w:val="28"/>
          <w:szCs w:val="28"/>
        </w:rPr>
        <w:t>,</w:t>
      </w:r>
      <w:r w:rsidR="009E0316">
        <w:rPr>
          <w:sz w:val="28"/>
          <w:szCs w:val="28"/>
        </w:rPr>
        <w:t xml:space="preserve"> </w:t>
      </w:r>
      <w:r w:rsidR="007F05A1">
        <w:rPr>
          <w:sz w:val="28"/>
          <w:szCs w:val="28"/>
        </w:rPr>
        <w:t xml:space="preserve">ведущей группы должностей отдела финансирования муниципальных автономных учреждений </w:t>
      </w:r>
      <w:r w:rsidR="009E0316">
        <w:rPr>
          <w:sz w:val="28"/>
          <w:szCs w:val="28"/>
        </w:rPr>
        <w:t xml:space="preserve">территориального отделения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9E0316">
        <w:rPr>
          <w:sz w:val="28"/>
          <w:szCs w:val="28"/>
        </w:rPr>
        <w:t xml:space="preserve"> </w:t>
      </w:r>
      <w:proofErr w:type="spellStart"/>
      <w:r w:rsidR="001557AE">
        <w:rPr>
          <w:sz w:val="28"/>
          <w:szCs w:val="28"/>
        </w:rPr>
        <w:t>г</w:t>
      </w:r>
      <w:proofErr w:type="gramStart"/>
      <w:r w:rsidR="001557AE">
        <w:rPr>
          <w:sz w:val="28"/>
          <w:szCs w:val="28"/>
        </w:rPr>
        <w:t>.К</w:t>
      </w:r>
      <w:proofErr w:type="gramEnd"/>
      <w:r w:rsidR="001557AE">
        <w:rPr>
          <w:sz w:val="28"/>
          <w:szCs w:val="28"/>
        </w:rPr>
        <w:t>азани</w:t>
      </w:r>
      <w:proofErr w:type="spellEnd"/>
      <w:r w:rsidR="001557AE">
        <w:rPr>
          <w:sz w:val="28"/>
          <w:szCs w:val="28"/>
        </w:rPr>
        <w:t xml:space="preserve"> </w:t>
      </w:r>
      <w:r w:rsidR="009468CC" w:rsidRPr="00DC7BC2">
        <w:rPr>
          <w:sz w:val="28"/>
          <w:szCs w:val="28"/>
        </w:rPr>
        <w:t xml:space="preserve">сообщает,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 включение в кадровый резерв на </w:t>
      </w:r>
      <w:r w:rsidR="007F05A1">
        <w:rPr>
          <w:sz w:val="28"/>
          <w:szCs w:val="28"/>
        </w:rPr>
        <w:t>ведущую</w:t>
      </w:r>
      <w:r w:rsidR="009468CC" w:rsidRPr="00DC7BC2">
        <w:rPr>
          <w:sz w:val="28"/>
          <w:szCs w:val="28"/>
        </w:rPr>
        <w:t xml:space="preserve"> группу должностей </w:t>
      </w:r>
      <w:proofErr w:type="gramStart"/>
      <w:r w:rsidR="009468CC" w:rsidRPr="00DC7BC2">
        <w:rPr>
          <w:sz w:val="28"/>
          <w:szCs w:val="28"/>
        </w:rPr>
        <w:t>признаны</w:t>
      </w:r>
      <w:proofErr w:type="gramEnd"/>
      <w:r w:rsidR="009468CC" w:rsidRPr="00DC7BC2">
        <w:rPr>
          <w:sz w:val="28"/>
          <w:szCs w:val="28"/>
        </w:rPr>
        <w:t xml:space="preserve">: </w:t>
      </w:r>
    </w:p>
    <w:p w:rsidR="002208D8" w:rsidRDefault="002208D8" w:rsidP="001557AE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5A1">
        <w:rPr>
          <w:sz w:val="28"/>
          <w:szCs w:val="28"/>
        </w:rPr>
        <w:t>отдел</w:t>
      </w:r>
      <w:r w:rsidR="007F05A1" w:rsidRPr="007F05A1">
        <w:rPr>
          <w:sz w:val="28"/>
          <w:szCs w:val="28"/>
        </w:rPr>
        <w:t xml:space="preserve"> регионального </w:t>
      </w:r>
      <w:proofErr w:type="gramStart"/>
      <w:r w:rsidR="007F05A1" w:rsidRPr="007F05A1">
        <w:rPr>
          <w:sz w:val="28"/>
          <w:szCs w:val="28"/>
        </w:rPr>
        <w:t>контроля Департамента казначейства Министерства финансов Республики</w:t>
      </w:r>
      <w:proofErr w:type="gramEnd"/>
      <w:r w:rsidR="007F05A1" w:rsidRPr="007F05A1">
        <w:rPr>
          <w:sz w:val="28"/>
          <w:szCs w:val="28"/>
        </w:rPr>
        <w:t xml:space="preserve"> Татарстан </w:t>
      </w:r>
      <w:r>
        <w:rPr>
          <w:sz w:val="28"/>
          <w:szCs w:val="28"/>
        </w:rPr>
        <w:t xml:space="preserve">– </w:t>
      </w:r>
      <w:r w:rsidR="007F05A1">
        <w:rPr>
          <w:sz w:val="28"/>
          <w:szCs w:val="28"/>
        </w:rPr>
        <w:t xml:space="preserve">Шагаев </w:t>
      </w:r>
      <w:proofErr w:type="spellStart"/>
      <w:r w:rsidR="007F05A1">
        <w:rPr>
          <w:sz w:val="28"/>
          <w:szCs w:val="28"/>
        </w:rPr>
        <w:t>Анвер</w:t>
      </w:r>
      <w:proofErr w:type="spellEnd"/>
      <w:r w:rsidR="007F05A1">
        <w:rPr>
          <w:sz w:val="28"/>
          <w:szCs w:val="28"/>
        </w:rPr>
        <w:t xml:space="preserve"> </w:t>
      </w:r>
      <w:proofErr w:type="spellStart"/>
      <w:r w:rsidR="007F05A1">
        <w:rPr>
          <w:sz w:val="28"/>
          <w:szCs w:val="28"/>
        </w:rPr>
        <w:t>Абзалович</w:t>
      </w:r>
      <w:proofErr w:type="spellEnd"/>
      <w:r w:rsidR="00204D49">
        <w:rPr>
          <w:sz w:val="28"/>
          <w:szCs w:val="28"/>
        </w:rPr>
        <w:t>;</w:t>
      </w:r>
    </w:p>
    <w:p w:rsidR="002208D8" w:rsidRDefault="002208D8" w:rsidP="001557AE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5A1">
        <w:rPr>
          <w:sz w:val="28"/>
          <w:szCs w:val="28"/>
        </w:rPr>
        <w:t>отдел</w:t>
      </w:r>
      <w:r w:rsidR="007F05A1" w:rsidRPr="007F05A1">
        <w:rPr>
          <w:sz w:val="28"/>
          <w:szCs w:val="28"/>
        </w:rPr>
        <w:t xml:space="preserve"> финансирования муниципальных автономных учреждений территориального отделения Департамента казначейства Министерства финансов Республики Татарстан </w:t>
      </w:r>
      <w:proofErr w:type="spellStart"/>
      <w:r w:rsidR="007F05A1" w:rsidRPr="007F05A1">
        <w:rPr>
          <w:sz w:val="28"/>
          <w:szCs w:val="28"/>
        </w:rPr>
        <w:t>г</w:t>
      </w:r>
      <w:proofErr w:type="gramStart"/>
      <w:r w:rsidR="007F05A1" w:rsidRPr="007F05A1">
        <w:rPr>
          <w:sz w:val="28"/>
          <w:szCs w:val="28"/>
        </w:rPr>
        <w:t>.К</w:t>
      </w:r>
      <w:proofErr w:type="gramEnd"/>
      <w:r w:rsidR="007F05A1" w:rsidRPr="007F05A1">
        <w:rPr>
          <w:sz w:val="28"/>
          <w:szCs w:val="28"/>
        </w:rPr>
        <w:t>азани</w:t>
      </w:r>
      <w:proofErr w:type="spellEnd"/>
      <w:r w:rsidR="007F05A1" w:rsidRPr="007F0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F05A1">
        <w:rPr>
          <w:sz w:val="28"/>
          <w:szCs w:val="28"/>
        </w:rPr>
        <w:t>Васильева Нина Михайловна</w:t>
      </w:r>
      <w:r w:rsidR="0043329D">
        <w:rPr>
          <w:sz w:val="28"/>
          <w:szCs w:val="28"/>
        </w:rPr>
        <w:t>.</w:t>
      </w:r>
    </w:p>
    <w:p w:rsidR="00E366F4" w:rsidRDefault="00E366F4" w:rsidP="001557A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8C4608" w:rsidRDefault="008C4608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557AE" w:rsidRDefault="001557AE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557AE" w:rsidRDefault="001557AE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E366F4" w:rsidRDefault="00E366F4" w:rsidP="00E366F4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, </w:t>
      </w:r>
    </w:p>
    <w:p w:rsidR="00444AC9" w:rsidRPr="00BC7A0B" w:rsidRDefault="00E366F4" w:rsidP="00803A80">
      <w:pPr>
        <w:shd w:val="clear" w:color="auto" w:fill="FFFFFF"/>
        <w:spacing w:line="276" w:lineRule="auto"/>
        <w:ind w:firstLine="142"/>
        <w:jc w:val="both"/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</w:t>
      </w:r>
      <w:r w:rsidR="00CF2F76">
        <w:rPr>
          <w:sz w:val="28"/>
          <w:szCs w:val="28"/>
        </w:rPr>
        <w:t xml:space="preserve">              </w:t>
      </w:r>
      <w:r w:rsidR="000143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</w:t>
      </w:r>
    </w:p>
    <w:sectPr w:rsidR="00444AC9" w:rsidRPr="00BC7A0B" w:rsidSect="001557AE">
      <w:headerReference w:type="default" r:id="rId9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86" w:rsidRDefault="00F04686">
      <w:r>
        <w:separator/>
      </w:r>
    </w:p>
  </w:endnote>
  <w:endnote w:type="continuationSeparator" w:id="0">
    <w:p w:rsidR="00F04686" w:rsidRDefault="00F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86" w:rsidRDefault="00F04686">
      <w:r>
        <w:separator/>
      </w:r>
    </w:p>
  </w:footnote>
  <w:footnote w:type="continuationSeparator" w:id="0">
    <w:p w:rsidR="00F04686" w:rsidRDefault="00F0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1557AE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F2D73"/>
    <w:rsid w:val="00204D49"/>
    <w:rsid w:val="002208D8"/>
    <w:rsid w:val="00226812"/>
    <w:rsid w:val="00233601"/>
    <w:rsid w:val="00237B18"/>
    <w:rsid w:val="0024424F"/>
    <w:rsid w:val="00270E02"/>
    <w:rsid w:val="00286D3A"/>
    <w:rsid w:val="002910A4"/>
    <w:rsid w:val="002A0716"/>
    <w:rsid w:val="002A567D"/>
    <w:rsid w:val="002B1DDC"/>
    <w:rsid w:val="002B4205"/>
    <w:rsid w:val="002C2A87"/>
    <w:rsid w:val="002C63EE"/>
    <w:rsid w:val="002C6C85"/>
    <w:rsid w:val="002C77F1"/>
    <w:rsid w:val="002D2F60"/>
    <w:rsid w:val="002E4431"/>
    <w:rsid w:val="002F6161"/>
    <w:rsid w:val="003156AB"/>
    <w:rsid w:val="00336742"/>
    <w:rsid w:val="0034357E"/>
    <w:rsid w:val="00347A73"/>
    <w:rsid w:val="00366FC9"/>
    <w:rsid w:val="0037039C"/>
    <w:rsid w:val="00393AE5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7809"/>
    <w:rsid w:val="00496EBC"/>
    <w:rsid w:val="004A5BF6"/>
    <w:rsid w:val="004B73CE"/>
    <w:rsid w:val="004C0782"/>
    <w:rsid w:val="004C792E"/>
    <w:rsid w:val="004F259A"/>
    <w:rsid w:val="004F7C4E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37B68"/>
    <w:rsid w:val="006456CA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7F05A1"/>
    <w:rsid w:val="00803A80"/>
    <w:rsid w:val="008050E4"/>
    <w:rsid w:val="0081486C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C4608"/>
    <w:rsid w:val="008E199E"/>
    <w:rsid w:val="008F709A"/>
    <w:rsid w:val="00907BFD"/>
    <w:rsid w:val="009104EA"/>
    <w:rsid w:val="00915278"/>
    <w:rsid w:val="00932646"/>
    <w:rsid w:val="009468CC"/>
    <w:rsid w:val="009670E6"/>
    <w:rsid w:val="0097551A"/>
    <w:rsid w:val="00977FDB"/>
    <w:rsid w:val="009A47DE"/>
    <w:rsid w:val="009A52C8"/>
    <w:rsid w:val="009B382E"/>
    <w:rsid w:val="009C7BE2"/>
    <w:rsid w:val="009D3F40"/>
    <w:rsid w:val="009E0316"/>
    <w:rsid w:val="009E45DB"/>
    <w:rsid w:val="00A14B2B"/>
    <w:rsid w:val="00A2233B"/>
    <w:rsid w:val="00A27F9E"/>
    <w:rsid w:val="00A37075"/>
    <w:rsid w:val="00A42277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45A19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1643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E23CA"/>
    <w:rsid w:val="00E20E4E"/>
    <w:rsid w:val="00E266F6"/>
    <w:rsid w:val="00E366F4"/>
    <w:rsid w:val="00E53105"/>
    <w:rsid w:val="00E84D1F"/>
    <w:rsid w:val="00E90B27"/>
    <w:rsid w:val="00E93B69"/>
    <w:rsid w:val="00EA33F8"/>
    <w:rsid w:val="00EC65EC"/>
    <w:rsid w:val="00ED1B85"/>
    <w:rsid w:val="00ED3C18"/>
    <w:rsid w:val="00EF3281"/>
    <w:rsid w:val="00F04686"/>
    <w:rsid w:val="00F06AB5"/>
    <w:rsid w:val="00F15110"/>
    <w:rsid w:val="00F248A4"/>
    <w:rsid w:val="00F24A98"/>
    <w:rsid w:val="00F257E8"/>
    <w:rsid w:val="00F34C71"/>
    <w:rsid w:val="00F40E02"/>
    <w:rsid w:val="00F454EF"/>
    <w:rsid w:val="00F56591"/>
    <w:rsid w:val="00F578B0"/>
    <w:rsid w:val="00F82AA0"/>
    <w:rsid w:val="00F91897"/>
    <w:rsid w:val="00F941BA"/>
    <w:rsid w:val="00F97183"/>
    <w:rsid w:val="00FA755F"/>
    <w:rsid w:val="00FC1E2F"/>
    <w:rsid w:val="00FC41CD"/>
    <w:rsid w:val="00FC7841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1924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Кандрашина Лариса Александровна</cp:lastModifiedBy>
  <cp:revision>4</cp:revision>
  <cp:lastPrinted>2016-08-03T14:09:00Z</cp:lastPrinted>
  <dcterms:created xsi:type="dcterms:W3CDTF">2016-08-03T13:28:00Z</dcterms:created>
  <dcterms:modified xsi:type="dcterms:W3CDTF">2016-08-03T14:09:00Z</dcterms:modified>
</cp:coreProperties>
</file>