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Радик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Гайзатуллин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: «Бюджет ноябрь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ахырында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өлгерәчәк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»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E73C4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13.10.2020</w:t>
        </w:r>
      </w:hyperlink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hyperlink r:id="rId6" w:history="1">
        <w:r w:rsidRPr="00E73C4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Интервью</w:t>
        </w:r>
      </w:hyperlink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"https://vatantat.ru/wp-content/uploads/2020/10/ka.jpg" </w:instrText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2F55301" wp14:editId="287E2901">
            <wp:extent cx="5875020" cy="3977640"/>
            <wp:effectExtent l="0" t="0" r="0" b="3810"/>
            <wp:docPr id="1" name="Рисунок 1" descr="Радик Гайзатуллин: «Бюджет ноябрь ахырында өлгерәчәк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ик Гайзатуллин: «Бюджет ноябрь ахырында өлгерәчәк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Әле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күптән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түгел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генә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Татарстан Президенты     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Рөстәм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Миңнеханов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Дәүләт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Советына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юлламасын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кертте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. 2021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планда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каралган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2022, 2023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елларга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республика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төп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финанс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документының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нинди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үзенчәлекләре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бар? Без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нинди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керемнәргә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өметләнә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алабыз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киләчәктәге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өч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төзелгән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бюджетның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социаль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юнәлешлелеген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саклап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калып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булырмы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Яңа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коронавирус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инфекциясенә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бәйле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хәлләр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республика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бюджетын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төзүгә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ничегрәк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йогынты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ясаган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Үзебезне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кызыксындырган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шундыйрак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сорау</w:t>
      </w:r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softHyphen/>
        <w:t>ларга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җавап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табу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йөзеннән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, Татарстан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финанс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        министры Радик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Гайзатуллинга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мөрәҗәгать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иттек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:: Радик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Рәүфович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әле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моннан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ел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элегрәк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кенә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2020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төзегәндә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җәмгыятебезнең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нинди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хәлдә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калачагын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күз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алдына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китереп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булмый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иде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Шөкер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сынауларны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лаеклы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төстә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уздырабыз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кебек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предприятиеләргә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оешмаларга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халыкка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үз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вакытында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ярдәм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күрсәтелә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Мондый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шартларда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киләсе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чорга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формалаштыру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кыен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булгандыр,мөгаен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хаклы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агымдагы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кризислы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 ай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йомгаклары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елдагыга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процентка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бюджетка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башына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тотылмыйча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калган бюджет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калдыклары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бюджеттан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күрсәтелгән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оптимальләштерү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өлкәсендә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эшләүчеләргә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индексацияләнгән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пособиеләрне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оешмаларының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хезмәтләренә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илкүләм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проектларны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финанслау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мөмкинлеге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Киләсе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формалаштыруда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әмма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уңай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Мәсәлән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моңа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һәрвакыт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оешмалар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министрлык</w:t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берәмлекләр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вәкилләре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очрашып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Быел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видеоэлемтә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барылды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 почта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җибәрелде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чикләүләргә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карамастан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ара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тыгыз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хезмәттәшлек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тукталып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калмыйча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әйбәт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нәтиҗәләрен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::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Теләсә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кайсы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бюджетны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респуб</w:t>
      </w:r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 xml:space="preserve">лика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хәтта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гаилә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бюджетын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төзегәндә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иң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аның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керем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өлеше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исәпләнелә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Республика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бюджетының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керем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чыганакларын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булдырганда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күп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мәгълүмат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эшкәртергә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бихисап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факторларны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исәпкә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алырга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кирәк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Бюджет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нинди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мәгълүматларга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нигезләнә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Мәгълүматлар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ничек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җыела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Җитмәсә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әле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очрашулар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сәфәрләр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чикләнелде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дисез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бит.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Республика Президенты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Советына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керткән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елларга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     8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үтәлешенә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үзгәрешләргә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нигезләнгән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Быелгы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фаразлау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системасының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министрлыклар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ведомстволарның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үтәргә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Мәсәлән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табышка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фаразлауда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оешмаларның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проектларыннан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Икътисад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</w:t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зыннан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исәп-хисапларыннан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файдаланылды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оешмалар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милкенә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планлаштыруда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</w:t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тицияләр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фаразы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салымчылар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исәпкә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алынды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тәфсилле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түләүчеләр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кат-кат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киңәшмәләр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үткәрелде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фаразлары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җентекләп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анализланды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чагыштырылды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формалаштыру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ай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Август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ахырында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Президенты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түләүчеләре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йомгаклау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киңәшмәсе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үткәрде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киләсе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формалаштыру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җыю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куелып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фаразлау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төгәлләнде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тупланма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бюджетта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271,9 миллиард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283,0, 2023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294,1 миллиард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фаразланыла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::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Гаилә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бюджеты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белән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чагыштыруны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дәвам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итеп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шуны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әйтергә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мөмкин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акча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эшләү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тотуга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караганда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күпкә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авыр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Ә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акчаны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һәрвакыт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күбрәк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тотасы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килә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Рес</w:t>
      </w:r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 xml:space="preserve">публика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бюджетында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кирәкле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барлык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чыгымнарга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акча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җитәрме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Киләсе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планда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каралган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чорга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фаразы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ниндирәк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формалаштыру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киңәшмәләр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үткәрелде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</w:t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публика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министрлыклары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ведомстволарының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шәһәр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ларының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тәкъдимнәре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каралды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җентекләп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анализланды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төбәкләр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каралганнан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дәрәҗәдәге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тәкъдимнәр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чыкты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тәкъдимнәрне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игътибарсыз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калдырмадык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гомумиләштереп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өстәмә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рәвештә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бюджеттан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кирәгенчә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хисабына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тормышка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ашыру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мөмкинлеге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ителде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әйтәсем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өч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чиратта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әһәмиятле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агымдагы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үсәчәк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 ел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төзелгән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бюджетта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проценты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чамасын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тәшкил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өлешендә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өлкәсендә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эшләүчеләрнең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категорияләренең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үстерүгә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хезмәткә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исәпкә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 ел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агымдагы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индексацияләнелә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бурычларын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өстәмә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финанслау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агымдагы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чагыштырганда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шактый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саллыракка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әйләндерә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11,6 миллиард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арта.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еллардагы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бүленә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илкүләм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чагылыш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табачак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елларда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җибәрелгән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социаль-мәдәни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иҗтимагый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объектларын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төзү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ремонтлауны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Бюджетта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берничә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килүче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күләмендәге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әһәмиятле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финанслау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ассигнование</w:t>
      </w: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ләрнең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6,5 миллиард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тотылган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Бюджетта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программаларны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финанслашуга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учреждениеләрен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тапшыруга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резерв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фондларын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булдыруга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учреждениеләре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мөлкәтенә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түләүгә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тотылган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үзара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средстволары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ярдәмендә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әһәмияттәге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мәсьәләләрне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кылуга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бюджетара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тоту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средстволарны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исәпкә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алмыйча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тупланма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274,8 миллиард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286,1, 2023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297,3 миллиард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фаразланыла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::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Кыенлыкларга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карамастан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финансистлар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үз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бурычларын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үтәүгә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ирешеп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бюджетны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формалаштырды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Татарстан Президенты бюджет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юлламасын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Дәүләт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Советына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кертте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Татарстан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депутатлар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республиканың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төп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документын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кабул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иткәнче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әле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тагын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нинди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этаплар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узарга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тиеш</w:t>
      </w:r>
      <w:proofErr w:type="spellEnd"/>
      <w:r w:rsidRPr="00E73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E73C47" w:rsidRPr="00E73C47" w:rsidRDefault="00E73C47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Республика бюджеты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өзлексез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эшләнелә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кабул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ителгәне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үзгәрешләр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агымдагы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үтәлеше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хисаплар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даими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әзерләнелә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тикшерүнең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билгеләнгән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тәртибе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Бюджет проекты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җәмәгатьчелекне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дәрәҗәдәге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профильдәге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идарәи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структураларны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социаль-мәдәни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сәнәгатьнең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тармакларыннан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белгечләр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җәлеп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киңәшмәләрдә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тикшерелә</w:t>
      </w:r>
      <w:proofErr w:type="spellEnd"/>
      <w:r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47" w:rsidRPr="00E73C47" w:rsidRDefault="00047F4B" w:rsidP="00E73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Соңыннан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проекты </w:t>
      </w:r>
      <w:bookmarkStart w:id="0" w:name="_GoBack"/>
      <w:bookmarkEnd w:id="0"/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комитетлары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утырышларында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каралачак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 15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октябрьдә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тыңлауларында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алышу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булачак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Профильле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депутатлары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21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октябрьдә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утырышында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фикерләрен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әйтәчәк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планда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каралган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2022, 2023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елларга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проекты   29 октябрь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көнне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укылышта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тикшереләчәк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ахырында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тулаем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күздә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тотыла</w:t>
      </w:r>
      <w:proofErr w:type="spellEnd"/>
      <w:r w:rsidR="00E73C47" w:rsidRPr="00E7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DFF" w:rsidRPr="00E73C47" w:rsidRDefault="00AC6DFF" w:rsidP="00E7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DFF" w:rsidRPr="00E7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7"/>
    <w:rsid w:val="00047F4B"/>
    <w:rsid w:val="00AC6DFF"/>
    <w:rsid w:val="00E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3C47"/>
    <w:rPr>
      <w:color w:val="0000FF"/>
      <w:u w:val="single"/>
    </w:rPr>
  </w:style>
  <w:style w:type="character" w:customStyle="1" w:styleId="metatext">
    <w:name w:val="meta_text"/>
    <w:basedOn w:val="a0"/>
    <w:rsid w:val="00E73C47"/>
  </w:style>
  <w:style w:type="paragraph" w:styleId="a4">
    <w:name w:val="Normal (Web)"/>
    <w:basedOn w:val="a"/>
    <w:uiPriority w:val="99"/>
    <w:semiHidden/>
    <w:unhideWhenUsed/>
    <w:rsid w:val="00E7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C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3C47"/>
    <w:rPr>
      <w:color w:val="0000FF"/>
      <w:u w:val="single"/>
    </w:rPr>
  </w:style>
  <w:style w:type="character" w:customStyle="1" w:styleId="metatext">
    <w:name w:val="meta_text"/>
    <w:basedOn w:val="a0"/>
    <w:rsid w:val="00E73C47"/>
  </w:style>
  <w:style w:type="paragraph" w:styleId="a4">
    <w:name w:val="Normal (Web)"/>
    <w:basedOn w:val="a"/>
    <w:uiPriority w:val="99"/>
    <w:semiHidden/>
    <w:unhideWhenUsed/>
    <w:rsid w:val="00E7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C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86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670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1976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8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1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atantat.ru/wp-content/uploads/2020/10/k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tantat.ru/category/mohim/intervyu/" TargetMode="External"/><Relationship Id="rId5" Type="http://schemas.openxmlformats.org/officeDocument/2006/relationships/hyperlink" Target="https://vatantat.ru/2020/10/3704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Гапсаламова Диляра Камилевна</dc:creator>
  <cp:lastModifiedBy>Минфин РТ - Гапсаламова Диляра Камилевна</cp:lastModifiedBy>
  <cp:revision>2</cp:revision>
  <dcterms:created xsi:type="dcterms:W3CDTF">2020-10-13T11:39:00Z</dcterms:created>
  <dcterms:modified xsi:type="dcterms:W3CDTF">2020-10-13T11:40:00Z</dcterms:modified>
</cp:coreProperties>
</file>