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7A" w:rsidRDefault="0083247A" w:rsidP="0083247A">
      <w:pPr>
        <w:pStyle w:val="2"/>
        <w:suppressAutoHyphens/>
        <w:spacing w:line="288" w:lineRule="auto"/>
        <w:ind w:left="-284" w:right="-425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с обращениями граждан</w:t>
      </w:r>
    </w:p>
    <w:p w:rsidR="0083247A" w:rsidRDefault="0083247A" w:rsidP="0083247A">
      <w:pPr>
        <w:widowControl w:val="0"/>
        <w:suppressAutoHyphens/>
        <w:autoSpaceDE w:val="0"/>
        <w:autoSpaceDN w:val="0"/>
        <w:ind w:right="-567" w:firstLine="425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Министерство финансов Республики Татарстан (далее - Министерство) в 1 полугодии 2021 г.  поступило обращений:</w:t>
      </w:r>
    </w:p>
    <w:p w:rsidR="0083247A" w:rsidRDefault="0083247A" w:rsidP="0083247A">
      <w:pPr>
        <w:widowControl w:val="0"/>
        <w:suppressAutoHyphens/>
        <w:autoSpaceDE w:val="0"/>
        <w:autoSpaceDN w:val="0"/>
        <w:ind w:right="-567" w:firstLine="425"/>
        <w:jc w:val="both"/>
        <w:rPr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 письменно  и  по системе Электронного документооборота  –  </w:t>
      </w:r>
      <w:r>
        <w:rPr>
          <w:rFonts w:cs="Times New Roman CYR"/>
          <w:b/>
          <w:sz w:val="28"/>
          <w:szCs w:val="28"/>
        </w:rPr>
        <w:t>158</w:t>
      </w:r>
      <w:r>
        <w:rPr>
          <w:rFonts w:cs="Times New Roman CYR"/>
          <w:sz w:val="28"/>
          <w:szCs w:val="28"/>
        </w:rPr>
        <w:t xml:space="preserve">, по </w:t>
      </w:r>
      <w:proofErr w:type="gramStart"/>
      <w:r>
        <w:rPr>
          <w:rFonts w:cs="Times New Roman CYR"/>
          <w:sz w:val="28"/>
          <w:szCs w:val="28"/>
        </w:rPr>
        <w:t>Интернет-приемной</w:t>
      </w:r>
      <w:proofErr w:type="gramEnd"/>
      <w:r>
        <w:rPr>
          <w:rFonts w:cs="Times New Roman CYR"/>
          <w:sz w:val="28"/>
          <w:szCs w:val="28"/>
        </w:rPr>
        <w:t xml:space="preserve"> </w:t>
      </w:r>
      <w:r w:rsidRPr="00E2642B">
        <w:rPr>
          <w:rFonts w:cs="Times New Roman CYR"/>
          <w:sz w:val="28"/>
          <w:szCs w:val="28"/>
        </w:rPr>
        <w:t xml:space="preserve">– </w:t>
      </w:r>
      <w:r>
        <w:rPr>
          <w:rFonts w:cs="Times New Roman CYR"/>
          <w:b/>
          <w:sz w:val="28"/>
          <w:szCs w:val="28"/>
        </w:rPr>
        <w:t>47</w:t>
      </w:r>
      <w:r w:rsidRPr="00E2642B">
        <w:rPr>
          <w:rFonts w:cs="Times New Roman CYR"/>
          <w:sz w:val="28"/>
          <w:szCs w:val="28"/>
        </w:rPr>
        <w:t xml:space="preserve">, </w:t>
      </w:r>
      <w:r w:rsidRPr="00E2642B">
        <w:rPr>
          <w:sz w:val="28"/>
          <w:szCs w:val="28"/>
        </w:rPr>
        <w:t>граждане</w:t>
      </w:r>
      <w:r w:rsidRPr="00E2642B">
        <w:rPr>
          <w:rFonts w:cs="Times New Roman CYR"/>
          <w:sz w:val="28"/>
          <w:szCs w:val="28"/>
        </w:rPr>
        <w:t xml:space="preserve"> на</w:t>
      </w:r>
      <w:r w:rsidRPr="00E2642B">
        <w:rPr>
          <w:sz w:val="28"/>
          <w:szCs w:val="28"/>
        </w:rPr>
        <w:t xml:space="preserve"> личный прием не записывались.</w:t>
      </w:r>
    </w:p>
    <w:p w:rsidR="0083247A" w:rsidRDefault="0083247A" w:rsidP="0083247A">
      <w:pPr>
        <w:suppressAutoHyphens/>
        <w:ind w:right="-567"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Всего </w:t>
      </w:r>
      <w:r>
        <w:rPr>
          <w:rFonts w:cs="Times New Roman CYR"/>
          <w:sz w:val="28"/>
          <w:szCs w:val="28"/>
        </w:rPr>
        <w:t xml:space="preserve">в министерство, с учетом личного приема, в 1 полугодии 2021г.  поступило  </w:t>
      </w:r>
      <w:r>
        <w:rPr>
          <w:rFonts w:cs="Times New Roman CYR"/>
          <w:b/>
          <w:bCs/>
          <w:sz w:val="28"/>
          <w:szCs w:val="28"/>
        </w:rPr>
        <w:t xml:space="preserve">205 </w:t>
      </w:r>
      <w:r>
        <w:rPr>
          <w:rFonts w:cs="Times New Roman CYR"/>
          <w:sz w:val="28"/>
          <w:szCs w:val="28"/>
        </w:rPr>
        <w:t xml:space="preserve">обращений, что на 7 % больше, чем за аналогичный период 2020г. </w:t>
      </w:r>
      <w:r>
        <w:rPr>
          <w:rFonts w:cs="Times New Roman CYR"/>
          <w:b/>
          <w:sz w:val="28"/>
          <w:szCs w:val="28"/>
        </w:rPr>
        <w:t>- 191</w:t>
      </w:r>
      <w:r>
        <w:rPr>
          <w:rFonts w:cs="Times New Roman CYR"/>
          <w:sz w:val="28"/>
          <w:szCs w:val="28"/>
        </w:rPr>
        <w:t xml:space="preserve"> обращение, из них: физические лица – </w:t>
      </w:r>
      <w:r>
        <w:rPr>
          <w:rFonts w:cs="Times New Roman CYR"/>
          <w:b/>
          <w:bCs/>
          <w:sz w:val="28"/>
          <w:szCs w:val="28"/>
        </w:rPr>
        <w:t>79</w:t>
      </w:r>
      <w:r>
        <w:rPr>
          <w:rFonts w:cs="Times New Roman CYR"/>
          <w:sz w:val="28"/>
          <w:szCs w:val="28"/>
        </w:rPr>
        <w:t xml:space="preserve">, юридические лица – </w:t>
      </w:r>
      <w:r>
        <w:rPr>
          <w:rFonts w:cs="Times New Roman CYR"/>
          <w:b/>
          <w:bCs/>
          <w:sz w:val="28"/>
          <w:szCs w:val="28"/>
        </w:rPr>
        <w:t>126</w:t>
      </w:r>
      <w:r>
        <w:rPr>
          <w:rFonts w:cs="Times New Roman CYR"/>
          <w:sz w:val="28"/>
          <w:szCs w:val="28"/>
        </w:rPr>
        <w:t>.</w:t>
      </w:r>
    </w:p>
    <w:p w:rsidR="0083247A" w:rsidRPr="00293C54" w:rsidRDefault="0083247A" w:rsidP="0083247A">
      <w:pPr>
        <w:suppressAutoHyphens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  </w:t>
      </w:r>
      <w:r>
        <w:rPr>
          <w:rFonts w:cs="Times New Roman CYR"/>
          <w:sz w:val="28"/>
          <w:szCs w:val="28"/>
        </w:rPr>
        <w:t>в 1 полугодии 2021г.</w:t>
      </w:r>
      <w:r>
        <w:rPr>
          <w:sz w:val="28"/>
          <w:szCs w:val="28"/>
        </w:rPr>
        <w:t xml:space="preserve"> в министерство обратилось  </w:t>
      </w:r>
      <w:r>
        <w:rPr>
          <w:b/>
          <w:sz w:val="28"/>
          <w:szCs w:val="28"/>
        </w:rPr>
        <w:t xml:space="preserve">47 </w:t>
      </w:r>
      <w:r>
        <w:rPr>
          <w:sz w:val="28"/>
          <w:szCs w:val="28"/>
        </w:rPr>
        <w:t xml:space="preserve"> граждан, что на  33% меньше по сравнению с </w:t>
      </w:r>
      <w:r>
        <w:rPr>
          <w:rFonts w:cs="Times New Roman CYR"/>
          <w:sz w:val="28"/>
          <w:szCs w:val="28"/>
        </w:rPr>
        <w:t xml:space="preserve"> аналогичным периодом  2020 г. – </w:t>
      </w:r>
      <w:r>
        <w:rPr>
          <w:rFonts w:cs="Times New Roman CYR"/>
          <w:b/>
          <w:sz w:val="28"/>
          <w:szCs w:val="28"/>
        </w:rPr>
        <w:t>70</w:t>
      </w:r>
      <w:r>
        <w:rPr>
          <w:sz w:val="28"/>
          <w:szCs w:val="28"/>
        </w:rPr>
        <w:t xml:space="preserve"> граждан. Кроме того, </w:t>
      </w:r>
      <w:r>
        <w:rPr>
          <w:rFonts w:cs="Times New Roman CYR"/>
          <w:sz w:val="28"/>
          <w:szCs w:val="28"/>
        </w:rPr>
        <w:t>в 1 полугодии 2021г.</w:t>
      </w:r>
      <w:r>
        <w:rPr>
          <w:sz w:val="28"/>
          <w:szCs w:val="28"/>
        </w:rPr>
        <w:t xml:space="preserve"> увеличилось количество перенаправленных обращений по подведомственной принадлежности, преимущественно поступивших по </w:t>
      </w:r>
      <w:proofErr w:type="gramStart"/>
      <w:r>
        <w:rPr>
          <w:sz w:val="28"/>
          <w:szCs w:val="28"/>
        </w:rPr>
        <w:t>Интернет-</w:t>
      </w:r>
      <w:r w:rsidRPr="00293C54">
        <w:rPr>
          <w:sz w:val="28"/>
          <w:szCs w:val="28"/>
        </w:rPr>
        <w:t>приемной</w:t>
      </w:r>
      <w:proofErr w:type="gramEnd"/>
      <w:r w:rsidRPr="00293C54">
        <w:rPr>
          <w:sz w:val="28"/>
          <w:szCs w:val="28"/>
        </w:rPr>
        <w:t xml:space="preserve">: в 2020 году </w:t>
      </w:r>
      <w:r w:rsidRPr="00BE057D">
        <w:rPr>
          <w:sz w:val="28"/>
          <w:szCs w:val="28"/>
        </w:rPr>
        <w:t xml:space="preserve">– </w:t>
      </w:r>
      <w:r w:rsidRPr="00600F18">
        <w:rPr>
          <w:b/>
          <w:sz w:val="28"/>
          <w:szCs w:val="28"/>
        </w:rPr>
        <w:t>30</w:t>
      </w:r>
      <w:r w:rsidRPr="00BE057D">
        <w:rPr>
          <w:sz w:val="28"/>
          <w:szCs w:val="28"/>
        </w:rPr>
        <w:t>, в 2</w:t>
      </w:r>
      <w:r>
        <w:rPr>
          <w:sz w:val="28"/>
          <w:szCs w:val="28"/>
        </w:rPr>
        <w:t xml:space="preserve">021 году – </w:t>
      </w:r>
      <w:r w:rsidRPr="00600F18">
        <w:rPr>
          <w:b/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83247A" w:rsidRDefault="0083247A" w:rsidP="0083247A">
      <w:pPr>
        <w:widowControl w:val="0"/>
        <w:suppressAutoHyphens/>
        <w:autoSpaceDE w:val="0"/>
        <w:autoSpaceDN w:val="0"/>
        <w:ind w:right="-567" w:firstLine="709"/>
        <w:jc w:val="both"/>
        <w:rPr>
          <w:rFonts w:cs="Times New Roman CYR"/>
          <w:sz w:val="28"/>
          <w:szCs w:val="28"/>
          <w:highlight w:val="yellow"/>
        </w:rPr>
      </w:pPr>
      <w:r>
        <w:rPr>
          <w:rFonts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обращениям в установленные сроки. </w:t>
      </w:r>
    </w:p>
    <w:p w:rsidR="0083247A" w:rsidRDefault="0083247A" w:rsidP="0083247A">
      <w:pPr>
        <w:ind w:firstLine="709"/>
        <w:jc w:val="center"/>
        <w:rPr>
          <w:sz w:val="28"/>
          <w:szCs w:val="28"/>
        </w:rPr>
      </w:pPr>
    </w:p>
    <w:p w:rsidR="0083247A" w:rsidRDefault="0083247A" w:rsidP="008324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Сравнительные данные </w:t>
      </w:r>
    </w:p>
    <w:p w:rsidR="0083247A" w:rsidRDefault="0083247A" w:rsidP="0083247A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83247A" w:rsidTr="00D056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 CYR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cs="Times New Roman CYR"/>
                <w:bCs/>
                <w:sz w:val="26"/>
                <w:szCs w:val="26"/>
              </w:rPr>
              <w:t>/г 2020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 CYR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cs="Times New Roman CYR"/>
                <w:bCs/>
                <w:sz w:val="26"/>
                <w:szCs w:val="26"/>
              </w:rPr>
              <w:t>/г 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83247A" w:rsidTr="00D056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 xml:space="preserve">Письменно (в </w:t>
            </w:r>
            <w:proofErr w:type="spellStart"/>
            <w:r>
              <w:rPr>
                <w:rFonts w:cs="Times New Roman CYR"/>
                <w:sz w:val="26"/>
                <w:szCs w:val="26"/>
              </w:rPr>
              <w:t>т.ч</w:t>
            </w:r>
            <w:proofErr w:type="spellEnd"/>
            <w:r>
              <w:rPr>
                <w:rFonts w:cs="Times New Roman CYR"/>
                <w:sz w:val="26"/>
                <w:szCs w:val="26"/>
              </w:rPr>
              <w:t>. по ЭДО)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&lt;24%</w:t>
            </w:r>
          </w:p>
        </w:tc>
      </w:tr>
      <w:tr w:rsidR="0083247A" w:rsidTr="00D056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 xml:space="preserve">По </w:t>
            </w:r>
            <w:proofErr w:type="gramStart"/>
            <w:r>
              <w:rPr>
                <w:rFonts w:cs="Times New Roman CYR"/>
                <w:sz w:val="26"/>
                <w:szCs w:val="26"/>
              </w:rPr>
              <w:t>интернет-приемной</w:t>
            </w:r>
            <w:proofErr w:type="gramEnd"/>
            <w:r>
              <w:rPr>
                <w:rFonts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&gt;33%</w:t>
            </w:r>
          </w:p>
        </w:tc>
      </w:tr>
      <w:tr w:rsidR="0083247A" w:rsidTr="00D056E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На личном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-</w:t>
            </w:r>
          </w:p>
        </w:tc>
      </w:tr>
      <w:tr w:rsidR="0083247A" w:rsidTr="00D056E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right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191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>
              <w:rPr>
                <w:rFonts w:cs="Times New Roman CYR"/>
                <w:bCs/>
                <w:sz w:val="24"/>
                <w:szCs w:val="24"/>
              </w:rPr>
              <w:t xml:space="preserve"> 7%</w:t>
            </w:r>
          </w:p>
        </w:tc>
      </w:tr>
    </w:tbl>
    <w:p w:rsidR="0083247A" w:rsidRDefault="0083247A" w:rsidP="0083247A">
      <w:pPr>
        <w:widowControl w:val="0"/>
        <w:autoSpaceDE w:val="0"/>
        <w:autoSpaceDN w:val="0"/>
        <w:ind w:left="1134"/>
        <w:jc w:val="center"/>
        <w:rPr>
          <w:sz w:val="24"/>
          <w:szCs w:val="24"/>
        </w:rPr>
      </w:pPr>
    </w:p>
    <w:p w:rsidR="0083247A" w:rsidRDefault="0083247A" w:rsidP="0083247A">
      <w:pPr>
        <w:widowControl w:val="0"/>
        <w:autoSpaceDE w:val="0"/>
        <w:autoSpaceDN w:val="0"/>
        <w:ind w:left="1134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83247A" w:rsidTr="00D056E0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ind w:left="1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A" w:rsidRDefault="0083247A" w:rsidP="00D056E0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 CYR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cs="Times New Roman CYR"/>
                <w:bCs/>
                <w:sz w:val="26"/>
                <w:szCs w:val="26"/>
              </w:rPr>
              <w:t>/г 2020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в </w:t>
            </w:r>
            <w:r>
              <w:rPr>
                <w:rFonts w:cs="Times New Roman CYR"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 CYR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cs="Times New Roman CYR"/>
                <w:bCs/>
                <w:sz w:val="26"/>
                <w:szCs w:val="26"/>
              </w:rPr>
              <w:t>/г 2021 г.</w:t>
            </w:r>
          </w:p>
        </w:tc>
      </w:tr>
      <w:tr w:rsidR="0083247A" w:rsidTr="00D056E0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99</w:t>
            </w:r>
          </w:p>
        </w:tc>
      </w:tr>
      <w:tr w:rsidR="0083247A" w:rsidTr="00D056E0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4</w:t>
            </w:r>
          </w:p>
        </w:tc>
      </w:tr>
      <w:tr w:rsidR="0083247A" w:rsidTr="00D056E0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27</w:t>
            </w:r>
          </w:p>
        </w:tc>
      </w:tr>
      <w:tr w:rsidR="0083247A" w:rsidTr="00D056E0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6</w:t>
            </w:r>
          </w:p>
        </w:tc>
      </w:tr>
      <w:tr w:rsidR="0083247A" w:rsidTr="00D056E0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13</w:t>
            </w:r>
          </w:p>
        </w:tc>
      </w:tr>
      <w:tr w:rsidR="0083247A" w:rsidTr="00D056E0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</w:rPr>
              <w:t>Трудоустройство, заработная плата, сокращение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A" w:rsidRDefault="0083247A" w:rsidP="00D056E0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16</w:t>
            </w:r>
          </w:p>
        </w:tc>
      </w:tr>
    </w:tbl>
    <w:p w:rsidR="00001B76" w:rsidRDefault="0083247A" w:rsidP="00001B76">
      <w:pPr>
        <w:ind w:firstLine="708"/>
        <w:jc w:val="both"/>
        <w:rPr>
          <w:sz w:val="28"/>
          <w:szCs w:val="28"/>
        </w:rPr>
      </w:pPr>
      <w:r w:rsidRPr="0000100C">
        <w:rPr>
          <w:sz w:val="28"/>
          <w:szCs w:val="28"/>
        </w:rPr>
        <w:t>Анализ тематики показы</w:t>
      </w:r>
      <w:r>
        <w:rPr>
          <w:sz w:val="28"/>
          <w:szCs w:val="28"/>
        </w:rPr>
        <w:t xml:space="preserve">вает, что увеличение обращений </w:t>
      </w:r>
      <w:r w:rsidRPr="0000100C">
        <w:rPr>
          <w:sz w:val="28"/>
          <w:szCs w:val="28"/>
        </w:rPr>
        <w:t>о финансово</w:t>
      </w:r>
      <w:r>
        <w:rPr>
          <w:sz w:val="28"/>
          <w:szCs w:val="28"/>
        </w:rPr>
        <w:t xml:space="preserve">й и материальной помощи связано с </w:t>
      </w:r>
      <w:r w:rsidRPr="0000100C">
        <w:rPr>
          <w:sz w:val="28"/>
          <w:szCs w:val="28"/>
        </w:rPr>
        <w:t>мероприятиями, проводимыми общественными, ветеранскими, спортивными, молодежными, творческими организациями, проведением всемирных, всероссийских, республиканских научных, спортивных и культурных мероприятий,</w:t>
      </w:r>
      <w:r>
        <w:rPr>
          <w:sz w:val="28"/>
          <w:szCs w:val="28"/>
        </w:rPr>
        <w:t xml:space="preserve"> а также рассмотрены обращения о </w:t>
      </w:r>
      <w:r w:rsidRPr="0000100C">
        <w:rPr>
          <w:sz w:val="28"/>
          <w:szCs w:val="28"/>
        </w:rPr>
        <w:t>финансовой помощи на улуч</w:t>
      </w:r>
      <w:r>
        <w:rPr>
          <w:sz w:val="28"/>
          <w:szCs w:val="28"/>
        </w:rPr>
        <w:t xml:space="preserve">шение инфраструктуры и помощь </w:t>
      </w:r>
      <w:r w:rsidRPr="0000100C">
        <w:rPr>
          <w:sz w:val="28"/>
          <w:szCs w:val="28"/>
        </w:rPr>
        <w:t>гражданам, оказавшимся в трудной  жизненной</w:t>
      </w:r>
      <w:r>
        <w:rPr>
          <w:sz w:val="28"/>
          <w:szCs w:val="28"/>
        </w:rPr>
        <w:t xml:space="preserve"> </w:t>
      </w:r>
      <w:r w:rsidRPr="0000100C">
        <w:rPr>
          <w:sz w:val="28"/>
          <w:szCs w:val="28"/>
        </w:rPr>
        <w:t xml:space="preserve">ситуации. Увеличение обращений о заработной плате связано с проведением мероприятий по внедрению новых систем оплаты труда, а также в связи со сложившейся сложной ситуацией во время распространения новой </w:t>
      </w:r>
      <w:proofErr w:type="spellStart"/>
      <w:r w:rsidRPr="0000100C">
        <w:rPr>
          <w:sz w:val="28"/>
          <w:szCs w:val="28"/>
        </w:rPr>
        <w:t>короновирусно</w:t>
      </w:r>
      <w:r>
        <w:rPr>
          <w:sz w:val="28"/>
          <w:szCs w:val="28"/>
        </w:rPr>
        <w:t>й</w:t>
      </w:r>
      <w:proofErr w:type="spellEnd"/>
      <w:r w:rsidRPr="0000100C">
        <w:rPr>
          <w:sz w:val="28"/>
          <w:szCs w:val="28"/>
        </w:rPr>
        <w:t xml:space="preserve"> инфекции.           </w:t>
      </w:r>
    </w:p>
    <w:p w:rsidR="00001B76" w:rsidRPr="00001B76" w:rsidRDefault="00A945A1" w:rsidP="00001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01B76" w:rsidRPr="00001B76">
        <w:rPr>
          <w:sz w:val="28"/>
          <w:szCs w:val="28"/>
        </w:rPr>
        <w:t>График приема граждан в Министерстве финансов Республики Татарстан: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Единый день приёма населения  руководством Республики Татарстан: по вторникам с 14:00 до 16:00.</w:t>
      </w:r>
    </w:p>
    <w:p w:rsidR="00001B76" w:rsidRDefault="00001B76" w:rsidP="00001B76">
      <w:pPr>
        <w:ind w:firstLine="708"/>
        <w:jc w:val="both"/>
        <w:rPr>
          <w:sz w:val="28"/>
          <w:szCs w:val="28"/>
        </w:rPr>
      </w:pP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Министр финансов Республики Татарстан - </w:t>
      </w:r>
      <w:proofErr w:type="spellStart"/>
      <w:r w:rsidRPr="00001B76">
        <w:rPr>
          <w:sz w:val="28"/>
          <w:szCs w:val="28"/>
        </w:rPr>
        <w:t>Гайзатуллин</w:t>
      </w:r>
      <w:proofErr w:type="spellEnd"/>
      <w:r w:rsidRPr="00001B76">
        <w:rPr>
          <w:sz w:val="28"/>
          <w:szCs w:val="28"/>
        </w:rPr>
        <w:t xml:space="preserve"> Радик </w:t>
      </w:r>
      <w:proofErr w:type="spellStart"/>
      <w:r w:rsidRPr="00001B76">
        <w:rPr>
          <w:sz w:val="28"/>
          <w:szCs w:val="28"/>
        </w:rPr>
        <w:t>Рауфович</w:t>
      </w:r>
      <w:proofErr w:type="spellEnd"/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Личный прием граждан осуществляется по вторникам с 14:00</w:t>
      </w:r>
    </w:p>
    <w:p w:rsidR="00001B76" w:rsidRDefault="00001B76" w:rsidP="00001B76">
      <w:pPr>
        <w:ind w:firstLine="708"/>
        <w:jc w:val="both"/>
        <w:rPr>
          <w:sz w:val="28"/>
          <w:szCs w:val="28"/>
        </w:rPr>
      </w:pP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Первый заместитель министра финансов Республики Татарстан – директор </w:t>
      </w:r>
      <w:proofErr w:type="gramStart"/>
      <w:r w:rsidRPr="00001B76">
        <w:rPr>
          <w:sz w:val="28"/>
          <w:szCs w:val="28"/>
        </w:rPr>
        <w:t>Департамента казначейства Министерства финансов  Республики</w:t>
      </w:r>
      <w:proofErr w:type="gramEnd"/>
      <w:r w:rsidRPr="00001B76">
        <w:rPr>
          <w:sz w:val="28"/>
          <w:szCs w:val="28"/>
        </w:rPr>
        <w:t xml:space="preserve"> Татарстан - </w:t>
      </w:r>
      <w:proofErr w:type="spellStart"/>
      <w:r w:rsidRPr="00001B76">
        <w:rPr>
          <w:sz w:val="28"/>
          <w:szCs w:val="28"/>
        </w:rPr>
        <w:t>Файзрахманов</w:t>
      </w:r>
      <w:proofErr w:type="spellEnd"/>
      <w:r w:rsidRPr="00001B76">
        <w:rPr>
          <w:sz w:val="28"/>
          <w:szCs w:val="28"/>
        </w:rPr>
        <w:t xml:space="preserve"> Марат </w:t>
      </w:r>
      <w:proofErr w:type="spellStart"/>
      <w:r w:rsidRPr="00001B76">
        <w:rPr>
          <w:sz w:val="28"/>
          <w:szCs w:val="28"/>
        </w:rPr>
        <w:t>Джаудатович</w:t>
      </w:r>
      <w:proofErr w:type="spellEnd"/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Личный прием граждан осуществляется по вторникам с 14:00 (г. Казань, ул. </w:t>
      </w:r>
      <w:proofErr w:type="spellStart"/>
      <w:r w:rsidRPr="00001B76">
        <w:rPr>
          <w:sz w:val="28"/>
          <w:szCs w:val="28"/>
        </w:rPr>
        <w:t>Правобулачная</w:t>
      </w:r>
      <w:proofErr w:type="spellEnd"/>
      <w:r w:rsidRPr="00001B76">
        <w:rPr>
          <w:sz w:val="28"/>
          <w:szCs w:val="28"/>
        </w:rPr>
        <w:t>,  д. 5)</w:t>
      </w:r>
    </w:p>
    <w:p w:rsidR="00001B76" w:rsidRDefault="00001B76" w:rsidP="00001B76">
      <w:pPr>
        <w:ind w:firstLine="708"/>
        <w:jc w:val="both"/>
        <w:rPr>
          <w:sz w:val="28"/>
          <w:szCs w:val="28"/>
        </w:rPr>
      </w:pP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Заместитель министра финансов Республики Татарстан - Шишкин Алексей  Геннадьевич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Личный прием граждан осуществляется по вторникам с 14:00</w:t>
      </w:r>
    </w:p>
    <w:p w:rsid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 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Заместитель министра финансов Республики Татарстан – Анфимова Алла Леонидовна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Личный прием граждан осуществляется по вторникам с 14:00</w:t>
      </w:r>
    </w:p>
    <w:p w:rsidR="00001B76" w:rsidRDefault="00001B76" w:rsidP="00001B76">
      <w:pPr>
        <w:ind w:firstLine="708"/>
        <w:jc w:val="both"/>
        <w:rPr>
          <w:sz w:val="28"/>
          <w:szCs w:val="28"/>
        </w:rPr>
      </w:pP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Заместитель министра финансов Республики Татарстан – </w:t>
      </w:r>
      <w:proofErr w:type="spellStart"/>
      <w:r w:rsidRPr="00001B76">
        <w:rPr>
          <w:sz w:val="28"/>
          <w:szCs w:val="28"/>
        </w:rPr>
        <w:t>Кисапова</w:t>
      </w:r>
      <w:proofErr w:type="spellEnd"/>
      <w:r w:rsidRPr="00001B76">
        <w:rPr>
          <w:sz w:val="28"/>
          <w:szCs w:val="28"/>
        </w:rPr>
        <w:t xml:space="preserve"> Оксана Алексеевна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Личный прием граждан осуществляется по вторникам с 14:00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Заместитель министра финансов Республики Татарстан – Герасимова </w:t>
      </w:r>
      <w:proofErr w:type="spellStart"/>
      <w:r w:rsidRPr="00001B76">
        <w:rPr>
          <w:sz w:val="28"/>
          <w:szCs w:val="28"/>
        </w:rPr>
        <w:t>Гела</w:t>
      </w:r>
      <w:proofErr w:type="spellEnd"/>
      <w:r w:rsidRPr="00001B76">
        <w:rPr>
          <w:sz w:val="28"/>
          <w:szCs w:val="28"/>
        </w:rPr>
        <w:t xml:space="preserve"> Юрьевна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Личный прием граждан осуществляется по вторникам с 14:00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 Прием граждан осуществляется по адресу: г. Казань, ул. Пушкина, д. 37.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Обращаться по телефону: 8 (843) 264-78-78 (Общий отдел).</w:t>
      </w:r>
    </w:p>
    <w:p w:rsidR="00001B76" w:rsidRPr="00001B76" w:rsidRDefault="00001B76" w:rsidP="00001B76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Ответственный за прием граждан</w:t>
      </w:r>
      <w:proofErr w:type="gramStart"/>
      <w:r w:rsidRPr="00001B76">
        <w:rPr>
          <w:sz w:val="28"/>
          <w:szCs w:val="28"/>
        </w:rPr>
        <w:t xml:space="preserve"> :</w:t>
      </w:r>
      <w:proofErr w:type="gramEnd"/>
      <w:r w:rsidRPr="00001B76">
        <w:rPr>
          <w:sz w:val="28"/>
          <w:szCs w:val="28"/>
        </w:rPr>
        <w:t xml:space="preserve"> начальник общего отдела  - Белякова Светлана Сергеевна,  тел. 8(843) 264-79-91</w:t>
      </w:r>
    </w:p>
    <w:p w:rsidR="00782606" w:rsidRDefault="00A945A1">
      <w:pPr>
        <w:ind w:firstLine="708"/>
        <w:jc w:val="both"/>
        <w:rPr>
          <w:sz w:val="28"/>
          <w:szCs w:val="28"/>
        </w:rPr>
        <w:sectPr w:rsidR="00782606" w:rsidSect="0083247A">
          <w:headerReference w:type="default" r:id="rId7"/>
          <w:pgSz w:w="11906" w:h="16838"/>
          <w:pgMar w:top="567" w:right="991" w:bottom="1134" w:left="1560" w:header="0" w:footer="0" w:gutter="0"/>
          <w:cols w:space="720"/>
          <w:docGrid w:linePitch="360"/>
        </w:sectPr>
      </w:pPr>
      <w:r>
        <w:rPr>
          <w:sz w:val="28"/>
          <w:szCs w:val="28"/>
        </w:rPr>
        <w:t xml:space="preserve">       </w:t>
      </w:r>
    </w:p>
    <w:p w:rsidR="00981456" w:rsidRDefault="00981456" w:rsidP="00981456">
      <w:pPr>
        <w:jc w:val="center"/>
        <w:rPr>
          <w:b/>
          <w:sz w:val="28"/>
          <w:szCs w:val="28"/>
        </w:rPr>
      </w:pPr>
    </w:p>
    <w:p w:rsidR="00981456" w:rsidRDefault="00981456" w:rsidP="0098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СТАТИСТИЧЕСКИЕ ДАННЫЕ</w:t>
      </w:r>
    </w:p>
    <w:p w:rsidR="00981456" w:rsidRDefault="00981456" w:rsidP="0098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981456" w:rsidRDefault="00981456" w:rsidP="0098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 2021 года</w:t>
      </w:r>
    </w:p>
    <w:p w:rsidR="00981456" w:rsidRDefault="00981456" w:rsidP="00981456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559"/>
        <w:gridCol w:w="1059"/>
        <w:gridCol w:w="1068"/>
        <w:gridCol w:w="992"/>
        <w:gridCol w:w="1683"/>
        <w:gridCol w:w="1010"/>
        <w:gridCol w:w="992"/>
        <w:gridCol w:w="993"/>
        <w:gridCol w:w="1417"/>
      </w:tblGrid>
      <w:tr w:rsidR="00981456" w:rsidTr="00981456">
        <w:tc>
          <w:tcPr>
            <w:tcW w:w="3261" w:type="dxa"/>
            <w:shd w:val="clear" w:color="auto" w:fill="auto"/>
          </w:tcPr>
          <w:p w:rsidR="00981456" w:rsidRDefault="00981456" w:rsidP="00D056E0">
            <w:pPr>
              <w:jc w:val="center"/>
            </w:pPr>
          </w:p>
          <w:p w:rsidR="00981456" w:rsidRDefault="00981456" w:rsidP="00D056E0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981456" w:rsidRDefault="00981456" w:rsidP="00D056E0">
            <w:pPr>
              <w:jc w:val="center"/>
            </w:pPr>
            <w:r>
              <w:t xml:space="preserve">Всего </w:t>
            </w:r>
          </w:p>
          <w:p w:rsidR="00981456" w:rsidRDefault="00981456" w:rsidP="00D056E0">
            <w:pPr>
              <w:jc w:val="center"/>
            </w:pPr>
            <w:r>
              <w:t>обращений</w:t>
            </w:r>
          </w:p>
          <w:p w:rsidR="00981456" w:rsidRDefault="00981456" w:rsidP="00D056E0">
            <w:pPr>
              <w:jc w:val="center"/>
            </w:pPr>
            <w:r>
              <w:t>граждан 1 полугодие</w:t>
            </w:r>
          </w:p>
          <w:p w:rsidR="00981456" w:rsidRDefault="00981456" w:rsidP="00D0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81456" w:rsidRDefault="00981456" w:rsidP="00D056E0">
            <w:pPr>
              <w:jc w:val="center"/>
            </w:pPr>
            <w:r>
              <w:t xml:space="preserve">Всего </w:t>
            </w:r>
          </w:p>
          <w:p w:rsidR="00981456" w:rsidRDefault="00981456" w:rsidP="00D056E0">
            <w:pPr>
              <w:jc w:val="center"/>
            </w:pPr>
            <w:r>
              <w:t>обращений</w:t>
            </w:r>
          </w:p>
          <w:p w:rsidR="00981456" w:rsidRDefault="00981456" w:rsidP="00D056E0">
            <w:pPr>
              <w:jc w:val="center"/>
            </w:pPr>
            <w:r>
              <w:t>граждан 1 полугодие</w:t>
            </w:r>
          </w:p>
          <w:p w:rsidR="00981456" w:rsidRDefault="00981456" w:rsidP="00D0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9" w:type="dxa"/>
            <w:shd w:val="clear" w:color="auto" w:fill="auto"/>
          </w:tcPr>
          <w:p w:rsidR="00981456" w:rsidRDefault="00981456" w:rsidP="00D056E0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981456" w:rsidRDefault="00981456" w:rsidP="00D056E0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981456" w:rsidRDefault="00981456" w:rsidP="00D056E0">
            <w:pPr>
              <w:jc w:val="center"/>
            </w:pPr>
            <w:r>
              <w:t>личный прием</w:t>
            </w:r>
          </w:p>
          <w:p w:rsidR="00981456" w:rsidRDefault="00981456" w:rsidP="00D056E0">
            <w:pPr>
              <w:jc w:val="center"/>
            </w:pPr>
            <w:proofErr w:type="spellStart"/>
            <w:r>
              <w:t>руков-вом</w:t>
            </w:r>
            <w:proofErr w:type="spellEnd"/>
          </w:p>
        </w:tc>
        <w:tc>
          <w:tcPr>
            <w:tcW w:w="992" w:type="dxa"/>
          </w:tcPr>
          <w:p w:rsidR="00981456" w:rsidRDefault="00981456" w:rsidP="00D056E0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прием по системе</w:t>
            </w:r>
          </w:p>
          <w:p w:rsidR="00981456" w:rsidRDefault="00981456" w:rsidP="00D056E0">
            <w:pPr>
              <w:jc w:val="center"/>
            </w:pPr>
            <w:r>
              <w:t>видео</w:t>
            </w:r>
          </w:p>
          <w:p w:rsidR="00981456" w:rsidRDefault="00981456" w:rsidP="00D056E0">
            <w:pPr>
              <w:jc w:val="center"/>
            </w:pPr>
            <w:r>
              <w:t>конференции</w:t>
            </w:r>
          </w:p>
        </w:tc>
        <w:tc>
          <w:tcPr>
            <w:tcW w:w="1683" w:type="dxa"/>
            <w:shd w:val="clear" w:color="auto" w:fill="auto"/>
          </w:tcPr>
          <w:p w:rsidR="00981456" w:rsidRDefault="00981456" w:rsidP="00D056E0">
            <w:pPr>
              <w:jc w:val="center"/>
            </w:pPr>
          </w:p>
          <w:p w:rsidR="00981456" w:rsidRDefault="00981456" w:rsidP="00D056E0">
            <w:pPr>
              <w:jc w:val="center"/>
            </w:pPr>
            <w:r>
              <w:t>Письменные обращения</w:t>
            </w:r>
          </w:p>
        </w:tc>
        <w:tc>
          <w:tcPr>
            <w:tcW w:w="1010" w:type="dxa"/>
            <w:shd w:val="clear" w:color="auto" w:fill="auto"/>
          </w:tcPr>
          <w:p w:rsidR="00981456" w:rsidRDefault="00981456" w:rsidP="00D056E0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через Интернет-приемную</w:t>
            </w:r>
          </w:p>
        </w:tc>
        <w:tc>
          <w:tcPr>
            <w:tcW w:w="992" w:type="dxa"/>
            <w:shd w:val="clear" w:color="auto" w:fill="auto"/>
          </w:tcPr>
          <w:p w:rsidR="00981456" w:rsidRDefault="00981456" w:rsidP="00D056E0">
            <w:pPr>
              <w:jc w:val="center"/>
            </w:pPr>
            <w:r>
              <w:t>Взято на контроль</w:t>
            </w:r>
          </w:p>
        </w:tc>
        <w:tc>
          <w:tcPr>
            <w:tcW w:w="993" w:type="dxa"/>
            <w:shd w:val="clear" w:color="auto" w:fill="auto"/>
          </w:tcPr>
          <w:p w:rsidR="00981456" w:rsidRDefault="00981456" w:rsidP="00D056E0">
            <w:pPr>
              <w:ind w:right="-108"/>
              <w:jc w:val="center"/>
            </w:pPr>
            <w:r>
              <w:t>Проверено с выездом на место</w:t>
            </w:r>
          </w:p>
        </w:tc>
        <w:tc>
          <w:tcPr>
            <w:tcW w:w="1417" w:type="dxa"/>
            <w:shd w:val="clear" w:color="auto" w:fill="auto"/>
          </w:tcPr>
          <w:p w:rsidR="00981456" w:rsidRDefault="00981456" w:rsidP="00D056E0">
            <w:pPr>
              <w:ind w:right="-108"/>
              <w:jc w:val="center"/>
            </w:pPr>
            <w:r>
              <w:t>Решено положительно</w:t>
            </w:r>
          </w:p>
        </w:tc>
      </w:tr>
      <w:tr w:rsidR="00981456" w:rsidTr="00981456">
        <w:trPr>
          <w:trHeight w:val="62"/>
        </w:trPr>
        <w:tc>
          <w:tcPr>
            <w:tcW w:w="3261" w:type="dxa"/>
            <w:shd w:val="clear" w:color="auto" w:fill="auto"/>
          </w:tcPr>
          <w:p w:rsidR="00981456" w:rsidRDefault="00981456" w:rsidP="00D056E0"/>
          <w:p w:rsidR="00981456" w:rsidRDefault="00981456" w:rsidP="00D0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финансов </w:t>
            </w:r>
          </w:p>
          <w:p w:rsidR="00981456" w:rsidRDefault="00981456" w:rsidP="00D0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981456" w:rsidRDefault="00981456" w:rsidP="00D056E0"/>
        </w:tc>
        <w:tc>
          <w:tcPr>
            <w:tcW w:w="1417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059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010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3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</w:tbl>
    <w:p w:rsidR="00782606" w:rsidRDefault="00782606" w:rsidP="00981456">
      <w:pPr>
        <w:pStyle w:val="a4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sectPr w:rsidR="00782606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BF" w:rsidRDefault="000F60BF">
      <w:r>
        <w:separator/>
      </w:r>
    </w:p>
  </w:endnote>
  <w:endnote w:type="continuationSeparator" w:id="0">
    <w:p w:rsidR="000F60BF" w:rsidRDefault="000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BF" w:rsidRDefault="000F60BF">
      <w:r>
        <w:separator/>
      </w:r>
    </w:p>
  </w:footnote>
  <w:footnote w:type="continuationSeparator" w:id="0">
    <w:p w:rsidR="000F60BF" w:rsidRDefault="000F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06" w:rsidRDefault="007826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06"/>
    <w:rsid w:val="00001B76"/>
    <w:rsid w:val="000F60BF"/>
    <w:rsid w:val="001634F0"/>
    <w:rsid w:val="005E3D51"/>
    <w:rsid w:val="00782606"/>
    <w:rsid w:val="0083247A"/>
    <w:rsid w:val="00981456"/>
    <w:rsid w:val="00A945A1"/>
    <w:rsid w:val="00B60668"/>
    <w:rsid w:val="00CD7345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link w:val="20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0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68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83247A"/>
    <w:rPr>
      <w:rFonts w:ascii="Times New Roman CYR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link w:val="20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0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68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83247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/>
  <cp:keywords/>
  <dc:description/>
  <cp:lastModifiedBy/>
  <cp:revision>1</cp:revision>
  <cp:lastPrinted>2019-07-01T09:22:00Z</cp:lastPrinted>
  <dcterms:created xsi:type="dcterms:W3CDTF">2019-07-01T08:05:00Z</dcterms:created>
  <dcterms:modified xsi:type="dcterms:W3CDTF">2021-07-06T07:25:00Z</dcterms:modified>
  <cp:version>0900.0000.01</cp:version>
</cp:coreProperties>
</file>