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E20E4E">
              <w:rPr>
                <w:rFonts w:ascii="Times New Roman" w:hAnsi="Times New Roman"/>
                <w:b w:val="0"/>
                <w:sz w:val="20"/>
              </w:rPr>
              <w:t>Пушкина</w:t>
            </w:r>
            <w:r w:rsidR="002A567D">
              <w:rPr>
                <w:rFonts w:ascii="Times New Roman" w:hAnsi="Times New Roman"/>
                <w:b w:val="0"/>
                <w:sz w:val="20"/>
              </w:rPr>
              <w:t xml:space="preserve"> ул.</w:t>
            </w:r>
            <w:r w:rsidRPr="00E20E4E">
              <w:rPr>
                <w:rFonts w:ascii="Times New Roman" w:hAnsi="Times New Roman"/>
                <w:b w:val="0"/>
                <w:sz w:val="20"/>
              </w:rPr>
              <w:t>, д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37, г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Казань, 420015</w:t>
            </w:r>
          </w:p>
          <w:p w:rsidR="00AA1E2E" w:rsidRPr="0014341F" w:rsidRDefault="00AA1E2E" w:rsidP="00AA1E2E"/>
        </w:tc>
        <w:tc>
          <w:tcPr>
            <w:tcW w:w="1418" w:type="dxa"/>
          </w:tcPr>
          <w:p w:rsidR="00A27F9E" w:rsidRDefault="009E035F" w:rsidP="0014341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5170" cy="72517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54" w:rsidRDefault="008B4254" w:rsidP="00883C9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4341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AA1E2E" w:rsidRPr="0014341F" w:rsidRDefault="00AA1E2E" w:rsidP="00AA1E2E"/>
        </w:tc>
      </w:tr>
    </w:tbl>
    <w:p w:rsidR="008B4254" w:rsidRPr="00B249BB" w:rsidRDefault="005A5A52" w:rsidP="00CB0B5F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B249BB">
        <w:t>Т</w:t>
      </w:r>
      <w:r w:rsidR="00AD0D03" w:rsidRPr="00B249BB">
        <w:t>ел</w:t>
      </w:r>
      <w:r w:rsidR="00AD0D03" w:rsidRPr="00B249BB">
        <w:rPr>
          <w:lang w:val="de-DE"/>
        </w:rPr>
        <w:t xml:space="preserve">.: (843)264-79-06,  </w:t>
      </w:r>
      <w:r w:rsidR="00AD0D03" w:rsidRPr="00B249BB">
        <w:t>факс</w:t>
      </w:r>
      <w:r w:rsidR="00AD0D03" w:rsidRPr="00B249BB">
        <w:rPr>
          <w:lang w:val="de-DE"/>
        </w:rPr>
        <w:t>: (843)264-78-78,</w:t>
      </w:r>
      <w:r w:rsidRPr="00B249BB">
        <w:t xml:space="preserve"> </w:t>
      </w:r>
      <w:proofErr w:type="spellStart"/>
      <w:r w:rsidR="00AD0D03" w:rsidRPr="00B249BB">
        <w:rPr>
          <w:lang w:val="de-DE"/>
        </w:rPr>
        <w:t>E-mail</w:t>
      </w:r>
      <w:proofErr w:type="spellEnd"/>
      <w:r w:rsidR="00AD0D03" w:rsidRPr="00B249BB">
        <w:rPr>
          <w:lang w:val="de-DE"/>
        </w:rPr>
        <w:t xml:space="preserve">: </w:t>
      </w:r>
      <w:hyperlink r:id="rId10" w:history="1">
        <w:r w:rsidR="00F91897" w:rsidRPr="00B249BB">
          <w:rPr>
            <w:rStyle w:val="a8"/>
            <w:color w:val="auto"/>
            <w:u w:val="none"/>
            <w:lang w:val="de-DE"/>
          </w:rPr>
          <w:t>minfin@tatar.ru</w:t>
        </w:r>
      </w:hyperlink>
      <w:r w:rsidR="00F91897" w:rsidRPr="00B249BB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CA7357" w:rsidTr="00BC7A0B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A7357" w:rsidRPr="009E035F" w:rsidRDefault="00CA7357" w:rsidP="006C62AE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</w:rPr>
            </w:pPr>
          </w:p>
        </w:tc>
        <w:tc>
          <w:tcPr>
            <w:tcW w:w="426" w:type="dxa"/>
          </w:tcPr>
          <w:p w:rsidR="00CA7357" w:rsidRDefault="008A284D" w:rsidP="00FC41CD">
            <w:pPr>
              <w:spacing w:before="120"/>
              <w:rPr>
                <w:b/>
              </w:rPr>
            </w:pPr>
            <w: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357" w:rsidRPr="009E035F" w:rsidRDefault="00CA7357" w:rsidP="009E45DB">
            <w:pPr>
              <w:spacing w:before="80"/>
              <w:rPr>
                <w:sz w:val="24"/>
              </w:rPr>
            </w:pPr>
          </w:p>
        </w:tc>
        <w:tc>
          <w:tcPr>
            <w:tcW w:w="5385" w:type="dxa"/>
          </w:tcPr>
          <w:p w:rsidR="00CA7357" w:rsidRPr="003E4176" w:rsidRDefault="00CA7357" w:rsidP="00BC7A0B">
            <w:pPr>
              <w:rPr>
                <w:sz w:val="28"/>
                <w:szCs w:val="28"/>
                <w:lang w:val="en-US"/>
              </w:rPr>
            </w:pPr>
          </w:p>
        </w:tc>
      </w:tr>
      <w:tr w:rsidR="00FC41CD" w:rsidTr="00BC7A0B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FC41CD" w:rsidRDefault="00FC41CD" w:rsidP="00FC41CD">
            <w:pPr>
              <w:spacing w:before="160"/>
              <w:ind w:left="-68"/>
              <w:rPr>
                <w:b/>
              </w:rPr>
            </w:pPr>
            <w: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B63B81" w:rsidRDefault="00FC41CD" w:rsidP="00BE130A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426" w:type="dxa"/>
          </w:tcPr>
          <w:p w:rsidR="00FC41CD" w:rsidRPr="00FC41CD" w:rsidRDefault="00FC41CD" w:rsidP="00CD2CB6">
            <w:pPr>
              <w:tabs>
                <w:tab w:val="left" w:pos="2198"/>
              </w:tabs>
              <w:spacing w:before="160"/>
              <w:ind w:right="-68"/>
            </w:pPr>
            <w:r w:rsidRPr="00FC41CD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B63B81" w:rsidRDefault="00FC41CD" w:rsidP="00BE130A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5385" w:type="dxa"/>
          </w:tcPr>
          <w:p w:rsidR="00FC41CD" w:rsidRPr="003E4176" w:rsidRDefault="00FC41CD" w:rsidP="00BC7A0B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006A09" w:rsidTr="00CE7DD7">
        <w:trPr>
          <w:trHeight w:hRule="exact" w:val="167"/>
        </w:trPr>
        <w:tc>
          <w:tcPr>
            <w:tcW w:w="709" w:type="dxa"/>
          </w:tcPr>
          <w:p w:rsidR="00006A09" w:rsidRDefault="00006A09" w:rsidP="00237B18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006A09" w:rsidRPr="00006A09" w:rsidRDefault="00006A09" w:rsidP="00237B18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</w:tcPr>
          <w:p w:rsidR="00AA117F" w:rsidRDefault="00AA117F" w:rsidP="00BC7A0B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41011E" w:rsidRDefault="0041011E" w:rsidP="00791EC8">
      <w:pPr>
        <w:pStyle w:val="10"/>
        <w:tabs>
          <w:tab w:val="left" w:pos="6521"/>
        </w:tabs>
        <w:spacing w:line="276" w:lineRule="auto"/>
        <w:ind w:left="6521" w:right="142"/>
        <w:rPr>
          <w:szCs w:val="28"/>
        </w:rPr>
      </w:pPr>
    </w:p>
    <w:p w:rsidR="00791EC8" w:rsidRPr="00791EC8" w:rsidRDefault="00791EC8" w:rsidP="00791EC8">
      <w:pPr>
        <w:pStyle w:val="10"/>
        <w:tabs>
          <w:tab w:val="left" w:pos="6521"/>
        </w:tabs>
        <w:spacing w:line="276" w:lineRule="auto"/>
        <w:ind w:left="6521" w:right="142"/>
        <w:rPr>
          <w:szCs w:val="28"/>
        </w:rPr>
      </w:pPr>
      <w:r w:rsidRPr="00791EC8">
        <w:rPr>
          <w:szCs w:val="28"/>
        </w:rPr>
        <w:t>Премьер - министру</w:t>
      </w:r>
    </w:p>
    <w:p w:rsidR="00791EC8" w:rsidRPr="00791EC8" w:rsidRDefault="00791EC8" w:rsidP="00791EC8">
      <w:pPr>
        <w:pStyle w:val="10"/>
        <w:tabs>
          <w:tab w:val="left" w:pos="6521"/>
        </w:tabs>
        <w:spacing w:line="276" w:lineRule="auto"/>
        <w:ind w:left="6521" w:right="142"/>
        <w:rPr>
          <w:szCs w:val="28"/>
        </w:rPr>
      </w:pPr>
      <w:r w:rsidRPr="00791EC8">
        <w:rPr>
          <w:szCs w:val="28"/>
        </w:rPr>
        <w:t>Республики Татарстан</w:t>
      </w:r>
    </w:p>
    <w:p w:rsidR="00791EC8" w:rsidRPr="00791EC8" w:rsidRDefault="00791EC8" w:rsidP="00791EC8">
      <w:pPr>
        <w:pStyle w:val="10"/>
        <w:tabs>
          <w:tab w:val="left" w:pos="6521"/>
        </w:tabs>
        <w:spacing w:line="276" w:lineRule="auto"/>
        <w:ind w:left="6521" w:right="142"/>
        <w:rPr>
          <w:szCs w:val="28"/>
        </w:rPr>
      </w:pPr>
      <w:proofErr w:type="spellStart"/>
      <w:r w:rsidRPr="00791EC8">
        <w:rPr>
          <w:szCs w:val="28"/>
        </w:rPr>
        <w:t>А.В.Песошину</w:t>
      </w:r>
      <w:proofErr w:type="spellEnd"/>
    </w:p>
    <w:p w:rsidR="0020184B" w:rsidRDefault="0020184B" w:rsidP="00992C38">
      <w:pPr>
        <w:pStyle w:val="10"/>
        <w:spacing w:line="276" w:lineRule="auto"/>
        <w:ind w:right="-1"/>
        <w:jc w:val="center"/>
        <w:rPr>
          <w:szCs w:val="28"/>
        </w:rPr>
      </w:pPr>
    </w:p>
    <w:p w:rsidR="00A57022" w:rsidRDefault="00A57022" w:rsidP="00992C38">
      <w:pPr>
        <w:pStyle w:val="10"/>
        <w:spacing w:line="276" w:lineRule="auto"/>
        <w:ind w:right="-1"/>
        <w:rPr>
          <w:sz w:val="20"/>
        </w:rPr>
      </w:pPr>
    </w:p>
    <w:p w:rsidR="00244D21" w:rsidRPr="00A57022" w:rsidRDefault="0041011E" w:rsidP="00992C38">
      <w:pPr>
        <w:pStyle w:val="10"/>
        <w:spacing w:line="276" w:lineRule="auto"/>
        <w:ind w:right="-1"/>
        <w:rPr>
          <w:sz w:val="20"/>
        </w:rPr>
      </w:pPr>
      <w:r>
        <w:rPr>
          <w:sz w:val="20"/>
        </w:rPr>
        <w:t>О согласовании проекта ПКМ РТ</w:t>
      </w:r>
    </w:p>
    <w:p w:rsidR="00244D21" w:rsidRDefault="00244D21" w:rsidP="00992C38">
      <w:pPr>
        <w:pStyle w:val="10"/>
        <w:spacing w:line="276" w:lineRule="auto"/>
        <w:ind w:right="-1"/>
        <w:rPr>
          <w:szCs w:val="28"/>
        </w:rPr>
      </w:pPr>
    </w:p>
    <w:p w:rsidR="00A57022" w:rsidRPr="00791EC8" w:rsidRDefault="00A57022" w:rsidP="00992C38">
      <w:pPr>
        <w:pStyle w:val="10"/>
        <w:spacing w:line="276" w:lineRule="auto"/>
        <w:ind w:right="-1"/>
        <w:rPr>
          <w:szCs w:val="28"/>
        </w:rPr>
      </w:pPr>
    </w:p>
    <w:p w:rsidR="00791EC8" w:rsidRPr="00791EC8" w:rsidRDefault="00791EC8" w:rsidP="00791EC8">
      <w:pPr>
        <w:pStyle w:val="a6"/>
        <w:suppressAutoHyphens/>
        <w:spacing w:line="276" w:lineRule="auto"/>
        <w:ind w:right="0" w:firstLine="0"/>
        <w:jc w:val="center"/>
        <w:rPr>
          <w:szCs w:val="28"/>
          <w:lang w:val="ru-RU"/>
        </w:rPr>
      </w:pPr>
      <w:r w:rsidRPr="00791EC8">
        <w:rPr>
          <w:szCs w:val="28"/>
          <w:lang w:val="ru-RU"/>
        </w:rPr>
        <w:t>Уважаемый Алексей Валерьевич!</w:t>
      </w:r>
    </w:p>
    <w:p w:rsidR="009E035F" w:rsidRPr="00791EC8" w:rsidRDefault="009E035F" w:rsidP="00992C38">
      <w:pPr>
        <w:pStyle w:val="10"/>
        <w:spacing w:line="276" w:lineRule="auto"/>
        <w:ind w:right="142"/>
        <w:rPr>
          <w:szCs w:val="28"/>
        </w:rPr>
      </w:pPr>
    </w:p>
    <w:p w:rsidR="00791EC8" w:rsidRDefault="00791EC8" w:rsidP="0041011E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791EC8">
        <w:rPr>
          <w:sz w:val="28"/>
          <w:szCs w:val="28"/>
        </w:rPr>
        <w:t xml:space="preserve">Министерство финансов Республики Татарстан в соответствии с решением Президента Республики Татарстан </w:t>
      </w:r>
      <w:proofErr w:type="spellStart"/>
      <w:r w:rsidRPr="00791EC8">
        <w:rPr>
          <w:sz w:val="28"/>
          <w:szCs w:val="28"/>
        </w:rPr>
        <w:t>Р.Н.Минниханова</w:t>
      </w:r>
      <w:proofErr w:type="spellEnd"/>
      <w:r w:rsidRPr="00791EC8">
        <w:rPr>
          <w:sz w:val="28"/>
          <w:szCs w:val="28"/>
        </w:rPr>
        <w:t xml:space="preserve"> от 26.05.2020 № 24943-МР</w:t>
      </w:r>
      <w:r w:rsidRPr="00791EC8">
        <w:rPr>
          <w:sz w:val="28"/>
          <w:szCs w:val="28"/>
          <w:u w:val="single"/>
        </w:rPr>
        <w:t xml:space="preserve"> </w:t>
      </w:r>
      <w:r w:rsidRPr="00791EC8">
        <w:rPr>
          <w:sz w:val="28"/>
          <w:szCs w:val="28"/>
        </w:rPr>
        <w:t xml:space="preserve">направляет проект </w:t>
      </w:r>
      <w:r w:rsidR="0041011E">
        <w:rPr>
          <w:sz w:val="28"/>
          <w:szCs w:val="28"/>
        </w:rPr>
        <w:t xml:space="preserve">постановления </w:t>
      </w:r>
      <w:r w:rsidRPr="00791EC8">
        <w:rPr>
          <w:sz w:val="28"/>
          <w:szCs w:val="28"/>
        </w:rPr>
        <w:t>Кабинета Министров Республики Татарстан</w:t>
      </w:r>
      <w:r w:rsidR="0041011E">
        <w:rPr>
          <w:sz w:val="28"/>
          <w:szCs w:val="28"/>
        </w:rPr>
        <w:t xml:space="preserve"> об утверждении </w:t>
      </w:r>
      <w:r w:rsidR="00213B1C">
        <w:rPr>
          <w:sz w:val="28"/>
          <w:szCs w:val="28"/>
        </w:rPr>
        <w:t>поряд</w:t>
      </w:r>
      <w:r w:rsidR="0041011E" w:rsidRPr="00C8741D">
        <w:rPr>
          <w:sz w:val="28"/>
          <w:szCs w:val="28"/>
        </w:rPr>
        <w:t>к</w:t>
      </w:r>
      <w:r w:rsidR="0041011E">
        <w:rPr>
          <w:sz w:val="28"/>
          <w:szCs w:val="28"/>
        </w:rPr>
        <w:t>а</w:t>
      </w:r>
      <w:r w:rsidR="0041011E" w:rsidRPr="00C8741D">
        <w:rPr>
          <w:sz w:val="28"/>
          <w:szCs w:val="28"/>
        </w:rPr>
        <w:t xml:space="preserve"> предоставления из бюджета Республики Татарстан иных межбюджетных трансфертов бюджетам муниципальных </w:t>
      </w:r>
      <w:r w:rsidR="0041011E">
        <w:rPr>
          <w:sz w:val="28"/>
          <w:szCs w:val="28"/>
        </w:rPr>
        <w:t>районов и городских округов на финансовое обеспечение расход</w:t>
      </w:r>
      <w:r w:rsidR="00213B1C">
        <w:rPr>
          <w:sz w:val="28"/>
          <w:szCs w:val="28"/>
        </w:rPr>
        <w:t xml:space="preserve">ов, связанных с обеспечением уровня заработной платы, установленного </w:t>
      </w:r>
      <w:r w:rsidR="00213B1C" w:rsidRPr="00D61D93">
        <w:rPr>
          <w:sz w:val="28"/>
          <w:szCs w:val="28"/>
        </w:rPr>
        <w:t>Федеральн</w:t>
      </w:r>
      <w:r w:rsidR="00213B1C">
        <w:rPr>
          <w:sz w:val="28"/>
          <w:szCs w:val="28"/>
        </w:rPr>
        <w:t>ым</w:t>
      </w:r>
      <w:r w:rsidR="00213B1C" w:rsidRPr="00D61D93">
        <w:rPr>
          <w:sz w:val="28"/>
          <w:szCs w:val="28"/>
        </w:rPr>
        <w:t xml:space="preserve"> закон</w:t>
      </w:r>
      <w:r w:rsidR="00213B1C">
        <w:rPr>
          <w:sz w:val="28"/>
          <w:szCs w:val="28"/>
        </w:rPr>
        <w:t>ом</w:t>
      </w:r>
      <w:r w:rsidR="00213B1C" w:rsidRPr="00D61D93">
        <w:rPr>
          <w:sz w:val="28"/>
          <w:szCs w:val="28"/>
        </w:rPr>
        <w:t xml:space="preserve"> от 19 июня 2000 года № 82-ФЗ</w:t>
      </w:r>
      <w:proofErr w:type="gramEnd"/>
      <w:r w:rsidR="00213B1C" w:rsidRPr="00D61D93">
        <w:rPr>
          <w:sz w:val="28"/>
          <w:szCs w:val="28"/>
        </w:rPr>
        <w:t xml:space="preserve"> «О минимальном </w:t>
      </w:r>
      <w:proofErr w:type="gramStart"/>
      <w:r w:rsidR="00213B1C" w:rsidRPr="00D61D93">
        <w:rPr>
          <w:sz w:val="28"/>
          <w:szCs w:val="28"/>
        </w:rPr>
        <w:t>размере оплаты труда</w:t>
      </w:r>
      <w:proofErr w:type="gramEnd"/>
      <w:r w:rsidR="00213B1C" w:rsidRPr="00D61D93">
        <w:rPr>
          <w:sz w:val="28"/>
          <w:szCs w:val="28"/>
        </w:rPr>
        <w:t>», Указ</w:t>
      </w:r>
      <w:r w:rsidR="00213B1C">
        <w:rPr>
          <w:sz w:val="28"/>
          <w:szCs w:val="28"/>
        </w:rPr>
        <w:t>ами</w:t>
      </w:r>
      <w:r w:rsidR="00213B1C" w:rsidRPr="00D61D93">
        <w:rPr>
          <w:sz w:val="28"/>
          <w:szCs w:val="28"/>
        </w:rPr>
        <w:t xml:space="preserve"> Президента Российской Федерации от 7 мая 2012 год</w:t>
      </w:r>
      <w:r w:rsidR="00213B1C">
        <w:rPr>
          <w:sz w:val="28"/>
          <w:szCs w:val="28"/>
        </w:rPr>
        <w:t>а № 597 «</w:t>
      </w:r>
      <w:r w:rsidR="00213B1C" w:rsidRPr="00D61D93">
        <w:rPr>
          <w:sz w:val="28"/>
          <w:szCs w:val="28"/>
        </w:rPr>
        <w:t xml:space="preserve">О мероприятиях по реализации государственной социальной политики», от 1 июня 2012 года </w:t>
      </w:r>
      <w:hyperlink r:id="rId11" w:history="1">
        <w:r w:rsidR="00213B1C" w:rsidRPr="00D61D93">
          <w:rPr>
            <w:sz w:val="28"/>
            <w:szCs w:val="28"/>
          </w:rPr>
          <w:t>№ 761</w:t>
        </w:r>
      </w:hyperlink>
      <w:r w:rsidR="00213B1C" w:rsidRPr="00D61D93">
        <w:rPr>
          <w:sz w:val="28"/>
          <w:szCs w:val="28"/>
        </w:rPr>
        <w:t xml:space="preserve"> «О Национальной стратегии действий в интересах детей на 2012 - 2017 годы»</w:t>
      </w:r>
      <w:r w:rsidR="0041011E">
        <w:rPr>
          <w:sz w:val="28"/>
          <w:szCs w:val="28"/>
        </w:rPr>
        <w:t>.</w:t>
      </w:r>
    </w:p>
    <w:p w:rsidR="0041011E" w:rsidRDefault="0041011E" w:rsidP="0041011E">
      <w:pPr>
        <w:suppressAutoHyphens/>
        <w:spacing w:line="288" w:lineRule="auto"/>
        <w:ind w:firstLine="708"/>
        <w:jc w:val="both"/>
        <w:rPr>
          <w:sz w:val="28"/>
          <w:szCs w:val="28"/>
        </w:rPr>
      </w:pPr>
    </w:p>
    <w:p w:rsidR="0041011E" w:rsidRPr="00791EC8" w:rsidRDefault="0041011E" w:rsidP="0041011E">
      <w:pPr>
        <w:suppressAutoHyphens/>
        <w:spacing w:line="288" w:lineRule="auto"/>
        <w:ind w:firstLine="708"/>
        <w:jc w:val="both"/>
        <w:rPr>
          <w:sz w:val="28"/>
          <w:szCs w:val="28"/>
        </w:rPr>
      </w:pPr>
    </w:p>
    <w:p w:rsidR="00791EC8" w:rsidRPr="00791EC8" w:rsidRDefault="00791EC8" w:rsidP="00791EC8">
      <w:pPr>
        <w:pStyle w:val="10"/>
        <w:suppressAutoHyphens/>
        <w:jc w:val="both"/>
        <w:rPr>
          <w:szCs w:val="28"/>
        </w:rPr>
      </w:pPr>
      <w:r w:rsidRPr="00791EC8">
        <w:rPr>
          <w:szCs w:val="28"/>
        </w:rPr>
        <w:t>Министр</w:t>
      </w:r>
      <w:r w:rsidRPr="00791EC8">
        <w:rPr>
          <w:szCs w:val="28"/>
        </w:rPr>
        <w:tab/>
      </w:r>
      <w:r w:rsidRPr="00791EC8">
        <w:rPr>
          <w:szCs w:val="28"/>
        </w:rPr>
        <w:tab/>
      </w:r>
      <w:r w:rsidRPr="00791EC8">
        <w:rPr>
          <w:szCs w:val="28"/>
        </w:rPr>
        <w:tab/>
      </w:r>
      <w:r w:rsidRPr="00791EC8">
        <w:rPr>
          <w:szCs w:val="28"/>
        </w:rPr>
        <w:tab/>
      </w:r>
      <w:r w:rsidRPr="00791EC8">
        <w:rPr>
          <w:szCs w:val="28"/>
        </w:rPr>
        <w:tab/>
      </w:r>
      <w:r w:rsidRPr="00791EC8">
        <w:rPr>
          <w:szCs w:val="28"/>
        </w:rPr>
        <w:tab/>
      </w:r>
      <w:r w:rsidRPr="00791EC8">
        <w:rPr>
          <w:szCs w:val="28"/>
        </w:rPr>
        <w:tab/>
      </w:r>
      <w:r w:rsidRPr="00791EC8">
        <w:rPr>
          <w:szCs w:val="28"/>
        </w:rPr>
        <w:tab/>
      </w:r>
      <w:r w:rsidRPr="00791EC8">
        <w:rPr>
          <w:szCs w:val="28"/>
        </w:rPr>
        <w:tab/>
      </w:r>
      <w:r w:rsidRPr="00791EC8">
        <w:rPr>
          <w:szCs w:val="28"/>
        </w:rPr>
        <w:tab/>
        <w:t xml:space="preserve">      </w:t>
      </w:r>
      <w:proofErr w:type="spellStart"/>
      <w:r w:rsidRPr="00791EC8">
        <w:rPr>
          <w:szCs w:val="28"/>
        </w:rPr>
        <w:t>Р.Р.Гайзатуллин</w:t>
      </w:r>
      <w:proofErr w:type="spellEnd"/>
    </w:p>
    <w:p w:rsidR="009A20E3" w:rsidRPr="00791EC8" w:rsidRDefault="009A20E3" w:rsidP="00992C38">
      <w:pPr>
        <w:tabs>
          <w:tab w:val="left" w:pos="7960"/>
        </w:tabs>
        <w:spacing w:line="276" w:lineRule="auto"/>
        <w:ind w:right="142"/>
        <w:jc w:val="both"/>
        <w:rPr>
          <w:sz w:val="28"/>
          <w:szCs w:val="28"/>
        </w:rPr>
      </w:pPr>
    </w:p>
    <w:p w:rsidR="000D4EAA" w:rsidRDefault="000D4EAA" w:rsidP="00992C38">
      <w:pPr>
        <w:tabs>
          <w:tab w:val="left" w:pos="7960"/>
        </w:tabs>
        <w:spacing w:line="276" w:lineRule="auto"/>
        <w:ind w:right="142"/>
        <w:jc w:val="both"/>
        <w:rPr>
          <w:sz w:val="28"/>
          <w:szCs w:val="28"/>
        </w:rPr>
      </w:pPr>
    </w:p>
    <w:p w:rsidR="009A20E3" w:rsidRDefault="009A20E3" w:rsidP="00992C38">
      <w:pPr>
        <w:tabs>
          <w:tab w:val="left" w:pos="7960"/>
        </w:tabs>
        <w:spacing w:line="276" w:lineRule="auto"/>
        <w:ind w:right="142"/>
        <w:jc w:val="both"/>
        <w:rPr>
          <w:sz w:val="28"/>
          <w:szCs w:val="28"/>
        </w:rPr>
      </w:pPr>
    </w:p>
    <w:p w:rsidR="00DC260B" w:rsidRDefault="00DC260B" w:rsidP="00992C38">
      <w:pPr>
        <w:tabs>
          <w:tab w:val="left" w:pos="7960"/>
        </w:tabs>
        <w:spacing w:line="276" w:lineRule="auto"/>
        <w:ind w:right="142"/>
        <w:jc w:val="both"/>
        <w:rPr>
          <w:sz w:val="28"/>
          <w:szCs w:val="28"/>
        </w:rPr>
      </w:pPr>
    </w:p>
    <w:p w:rsidR="0041011E" w:rsidRPr="00D81B5D" w:rsidRDefault="0041011E" w:rsidP="00992C38">
      <w:pPr>
        <w:tabs>
          <w:tab w:val="left" w:pos="7960"/>
        </w:tabs>
        <w:spacing w:line="276" w:lineRule="auto"/>
        <w:ind w:right="142"/>
        <w:jc w:val="both"/>
        <w:rPr>
          <w:sz w:val="28"/>
          <w:szCs w:val="28"/>
        </w:rPr>
      </w:pPr>
    </w:p>
    <w:p w:rsidR="000D4EAA" w:rsidRDefault="00A17D40" w:rsidP="00992C38">
      <w:pPr>
        <w:suppressAutoHyphens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Д.С. Тараканова</w:t>
      </w:r>
    </w:p>
    <w:p w:rsidR="001B3BEA" w:rsidRDefault="00A17D40" w:rsidP="00992C38">
      <w:pPr>
        <w:suppressAutoHyphens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703968" w:rsidRPr="00D81B5D">
        <w:rPr>
          <w:sz w:val="16"/>
          <w:szCs w:val="16"/>
        </w:rPr>
        <w:t xml:space="preserve">(843) </w:t>
      </w:r>
      <w:r w:rsidR="001B3BEA" w:rsidRPr="00D81B5D">
        <w:rPr>
          <w:sz w:val="16"/>
          <w:szCs w:val="16"/>
        </w:rPr>
        <w:t>264-</w:t>
      </w:r>
      <w:r w:rsidR="00294BD3" w:rsidRPr="00D81B5D">
        <w:rPr>
          <w:sz w:val="16"/>
          <w:szCs w:val="16"/>
        </w:rPr>
        <w:t>7</w:t>
      </w:r>
      <w:r>
        <w:rPr>
          <w:sz w:val="16"/>
          <w:szCs w:val="16"/>
        </w:rPr>
        <w:t>9-34</w:t>
      </w:r>
    </w:p>
    <w:p w:rsidR="00992C38" w:rsidRDefault="00992C38" w:rsidP="00992C38">
      <w:pPr>
        <w:suppressAutoHyphens/>
        <w:spacing w:line="276" w:lineRule="auto"/>
        <w:rPr>
          <w:sz w:val="16"/>
          <w:szCs w:val="16"/>
        </w:rPr>
      </w:pPr>
    </w:p>
    <w:p w:rsidR="00992C38" w:rsidRDefault="00992C38" w:rsidP="00992C38">
      <w:pPr>
        <w:suppressAutoHyphens/>
        <w:spacing w:line="276" w:lineRule="auto"/>
        <w:rPr>
          <w:sz w:val="16"/>
          <w:szCs w:val="16"/>
        </w:rPr>
      </w:pPr>
    </w:p>
    <w:p w:rsidR="00582CA9" w:rsidRPr="00D61D93" w:rsidRDefault="00582CA9" w:rsidP="00582CA9">
      <w:pPr>
        <w:spacing w:line="276" w:lineRule="auto"/>
        <w:contextualSpacing/>
        <w:jc w:val="right"/>
        <w:rPr>
          <w:sz w:val="28"/>
          <w:szCs w:val="28"/>
        </w:rPr>
      </w:pPr>
      <w:r w:rsidRPr="00D61D93">
        <w:rPr>
          <w:sz w:val="28"/>
          <w:szCs w:val="28"/>
        </w:rPr>
        <w:lastRenderedPageBreak/>
        <w:t>ПРОЕКТ</w:t>
      </w:r>
    </w:p>
    <w:p w:rsidR="00582CA9" w:rsidRPr="00D61D93" w:rsidRDefault="00582CA9" w:rsidP="00582CA9">
      <w:pPr>
        <w:spacing w:line="276" w:lineRule="auto"/>
        <w:contextualSpacing/>
        <w:jc w:val="both"/>
        <w:rPr>
          <w:sz w:val="28"/>
          <w:szCs w:val="28"/>
        </w:rPr>
      </w:pPr>
    </w:p>
    <w:p w:rsidR="00582CA9" w:rsidRPr="00D61D93" w:rsidRDefault="00582CA9" w:rsidP="00582CA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61D93">
        <w:rPr>
          <w:rFonts w:eastAsia="Calibri"/>
          <w:sz w:val="28"/>
          <w:szCs w:val="28"/>
          <w:lang w:eastAsia="en-US"/>
        </w:rPr>
        <w:t>КАБИНЕТ МИНИСТРОВ РЕСПУБЛИКИ ТАТАРСТАН</w:t>
      </w:r>
    </w:p>
    <w:p w:rsidR="00582CA9" w:rsidRPr="00D61D93" w:rsidRDefault="00582CA9" w:rsidP="00582CA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82CA9" w:rsidRPr="00D61D93" w:rsidRDefault="00582CA9" w:rsidP="00582CA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61D93">
        <w:rPr>
          <w:rFonts w:eastAsia="Calibri"/>
          <w:sz w:val="28"/>
          <w:szCs w:val="28"/>
          <w:lang w:eastAsia="en-US"/>
        </w:rPr>
        <w:t>ПОСТАНОВЛЕНИЕ</w:t>
      </w:r>
    </w:p>
    <w:p w:rsidR="00582CA9" w:rsidRPr="00D61D93" w:rsidRDefault="00582CA9" w:rsidP="00582CA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82CA9" w:rsidRPr="00D61D93" w:rsidRDefault="00582CA9" w:rsidP="00582CA9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61D93">
        <w:rPr>
          <w:rFonts w:eastAsia="Calibri"/>
          <w:sz w:val="28"/>
          <w:szCs w:val="28"/>
          <w:lang w:eastAsia="en-US"/>
        </w:rPr>
        <w:t>«___» _______ 2020</w:t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  <w:t>№ ______</w:t>
      </w:r>
    </w:p>
    <w:p w:rsidR="00582CA9" w:rsidRPr="00D61D93" w:rsidRDefault="00582CA9" w:rsidP="00582CA9">
      <w:pPr>
        <w:tabs>
          <w:tab w:val="left" w:pos="4253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82CA9" w:rsidRDefault="00582CA9" w:rsidP="00582CA9">
      <w:pPr>
        <w:tabs>
          <w:tab w:val="left" w:pos="5103"/>
        </w:tabs>
        <w:spacing w:line="276" w:lineRule="auto"/>
        <w:ind w:right="6236"/>
        <w:contextualSpacing/>
        <w:rPr>
          <w:rFonts w:eastAsia="Calibri"/>
          <w:sz w:val="28"/>
          <w:szCs w:val="28"/>
        </w:rPr>
      </w:pPr>
    </w:p>
    <w:p w:rsidR="00582CA9" w:rsidRDefault="00582CA9" w:rsidP="00582CA9">
      <w:pPr>
        <w:tabs>
          <w:tab w:val="left" w:pos="5103"/>
          <w:tab w:val="left" w:pos="5245"/>
        </w:tabs>
        <w:spacing w:line="276" w:lineRule="auto"/>
        <w:ind w:right="4535"/>
        <w:contextualSpacing/>
        <w:jc w:val="both"/>
        <w:rPr>
          <w:sz w:val="28"/>
          <w:szCs w:val="28"/>
        </w:rPr>
      </w:pPr>
      <w:r w:rsidRPr="00D61D93">
        <w:rPr>
          <w:rFonts w:eastAsia="Calibri"/>
          <w:sz w:val="28"/>
          <w:szCs w:val="28"/>
        </w:rPr>
        <w:t>Об утверждении порядка</w:t>
      </w:r>
      <w:r>
        <w:rPr>
          <w:rFonts w:eastAsia="Calibri"/>
          <w:sz w:val="28"/>
          <w:szCs w:val="28"/>
        </w:rPr>
        <w:t xml:space="preserve"> </w:t>
      </w:r>
      <w:r w:rsidRPr="00C8741D">
        <w:rPr>
          <w:sz w:val="28"/>
          <w:szCs w:val="28"/>
        </w:rPr>
        <w:t>предоставления из бюджета Республики Татарстан иных межбюджетных трансфертов бюджетам муниципальны</w:t>
      </w:r>
      <w:r>
        <w:rPr>
          <w:sz w:val="28"/>
          <w:szCs w:val="28"/>
        </w:rPr>
        <w:t xml:space="preserve">х районов и городских округов </w:t>
      </w:r>
    </w:p>
    <w:p w:rsidR="00582CA9" w:rsidRDefault="00582CA9" w:rsidP="00582CA9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582CA9" w:rsidRPr="00D61D93" w:rsidRDefault="00582CA9" w:rsidP="00582CA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61D93">
        <w:rPr>
          <w:sz w:val="28"/>
          <w:szCs w:val="28"/>
        </w:rPr>
        <w:tab/>
      </w:r>
    </w:p>
    <w:p w:rsidR="00582CA9" w:rsidRPr="00D61D93" w:rsidRDefault="00582CA9" w:rsidP="0058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В соответствии со статьей 139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D61D93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57F1E">
        <w:rPr>
          <w:rFonts w:ascii="Times New Roman" w:hAnsi="Times New Roman" w:cs="Times New Roman"/>
          <w:sz w:val="28"/>
          <w:szCs w:val="28"/>
        </w:rPr>
        <w:t xml:space="preserve">, </w:t>
      </w:r>
      <w:r w:rsidRPr="00D61D9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57F1E">
        <w:rPr>
          <w:rFonts w:ascii="Times New Roman" w:hAnsi="Times New Roman" w:cs="Times New Roman"/>
          <w:sz w:val="28"/>
          <w:szCs w:val="28"/>
        </w:rPr>
        <w:t>ым</w:t>
      </w:r>
      <w:r w:rsidRPr="00D61D9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57F1E">
        <w:rPr>
          <w:rFonts w:ascii="Times New Roman" w:hAnsi="Times New Roman" w:cs="Times New Roman"/>
          <w:sz w:val="28"/>
          <w:szCs w:val="28"/>
        </w:rPr>
        <w:t>ом</w:t>
      </w:r>
      <w:r w:rsidRPr="00D61D93">
        <w:rPr>
          <w:rFonts w:ascii="Times New Roman" w:hAnsi="Times New Roman" w:cs="Times New Roman"/>
          <w:sz w:val="28"/>
          <w:szCs w:val="28"/>
        </w:rPr>
        <w:t xml:space="preserve"> от 19 июня 2000 года № 82-ФЗ «О минимальном размере оплаты труда», Указ</w:t>
      </w:r>
      <w:r w:rsidR="00857F1E">
        <w:rPr>
          <w:rFonts w:ascii="Times New Roman" w:hAnsi="Times New Roman" w:cs="Times New Roman"/>
          <w:sz w:val="28"/>
          <w:szCs w:val="28"/>
        </w:rPr>
        <w:t xml:space="preserve">ами </w:t>
      </w:r>
      <w:r w:rsidRPr="00D61D93">
        <w:rPr>
          <w:rFonts w:ascii="Times New Roman" w:hAnsi="Times New Roman" w:cs="Times New Roman"/>
          <w:sz w:val="28"/>
          <w:szCs w:val="28"/>
        </w:rPr>
        <w:t>Президента Российской Федерации от 7 мая 2012 год</w:t>
      </w:r>
      <w:r>
        <w:rPr>
          <w:rFonts w:ascii="Times New Roman" w:hAnsi="Times New Roman" w:cs="Times New Roman"/>
          <w:sz w:val="28"/>
          <w:szCs w:val="28"/>
        </w:rPr>
        <w:t>а № 597 «</w:t>
      </w:r>
      <w:r w:rsidRPr="00D61D93">
        <w:rPr>
          <w:rFonts w:ascii="Times New Roman" w:hAnsi="Times New Roman" w:cs="Times New Roman"/>
          <w:sz w:val="28"/>
          <w:szCs w:val="28"/>
        </w:rPr>
        <w:t xml:space="preserve">О мероприятиях по реализации государственной социальной политики», от 1 июня 2012 года </w:t>
      </w:r>
      <w:hyperlink r:id="rId12" w:history="1">
        <w:r w:rsidRPr="00D61D93">
          <w:rPr>
            <w:rFonts w:ascii="Times New Roman" w:hAnsi="Times New Roman" w:cs="Times New Roman"/>
            <w:sz w:val="28"/>
            <w:szCs w:val="28"/>
          </w:rPr>
          <w:t>№ 761</w:t>
        </w:r>
      </w:hyperlink>
      <w:r w:rsidRPr="00D61D93">
        <w:rPr>
          <w:rFonts w:ascii="Times New Roman" w:hAnsi="Times New Roman" w:cs="Times New Roman"/>
          <w:sz w:val="28"/>
          <w:szCs w:val="28"/>
        </w:rPr>
        <w:t xml:space="preserve"> «О Национальной стратегии действий в интересах детей на 2012 - 2017 годы» Кабинет Министров Республики Татарстан ПОСТАНОВЛЯЕТ:</w:t>
      </w:r>
      <w:bookmarkStart w:id="0" w:name="sub_1"/>
    </w:p>
    <w:bookmarkEnd w:id="0"/>
    <w:p w:rsidR="00582CA9" w:rsidRPr="00C8741D" w:rsidRDefault="00582CA9" w:rsidP="00582CA9">
      <w:pPr>
        <w:pStyle w:val="a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C8741D">
        <w:rPr>
          <w:sz w:val="28"/>
          <w:szCs w:val="28"/>
        </w:rPr>
        <w:t xml:space="preserve">Утвердить порядок предоставления из бюджета Республики Татарстан иных межбюджетных трансфертов бюджетам муниципальных </w:t>
      </w:r>
      <w:r>
        <w:rPr>
          <w:sz w:val="28"/>
          <w:szCs w:val="28"/>
        </w:rPr>
        <w:t>районов и городских округов</w:t>
      </w:r>
      <w:r w:rsidRPr="00C8741D">
        <w:rPr>
          <w:sz w:val="28"/>
          <w:szCs w:val="28"/>
        </w:rPr>
        <w:t>.</w:t>
      </w:r>
    </w:p>
    <w:p w:rsidR="00582CA9" w:rsidRPr="00D61D93" w:rsidRDefault="00582CA9" w:rsidP="00582CA9">
      <w:pPr>
        <w:pStyle w:val="ad"/>
        <w:numPr>
          <w:ilvl w:val="0"/>
          <w:numId w:val="6"/>
        </w:numPr>
        <w:tabs>
          <w:tab w:val="left" w:pos="1134"/>
          <w:tab w:val="left" w:pos="992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61D93">
        <w:rPr>
          <w:sz w:val="28"/>
          <w:szCs w:val="28"/>
        </w:rPr>
        <w:t>Контроль за</w:t>
      </w:r>
      <w:proofErr w:type="gramEnd"/>
      <w:r w:rsidRPr="00D61D93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возложить на Министерство финансов Республики Татарстан</w:t>
      </w:r>
      <w:r w:rsidRPr="00D61D93">
        <w:rPr>
          <w:sz w:val="28"/>
          <w:szCs w:val="28"/>
        </w:rPr>
        <w:t>.</w:t>
      </w:r>
    </w:p>
    <w:p w:rsidR="00582CA9" w:rsidRPr="00D61D93" w:rsidRDefault="00582CA9" w:rsidP="00582CA9">
      <w:pPr>
        <w:suppressAutoHyphens/>
        <w:autoSpaceDE w:val="0"/>
        <w:autoSpaceDN w:val="0"/>
        <w:adjustRightInd w:val="0"/>
        <w:spacing w:line="276" w:lineRule="auto"/>
        <w:ind w:firstLine="720"/>
        <w:contextualSpacing/>
        <w:jc w:val="both"/>
        <w:outlineLvl w:val="0"/>
        <w:rPr>
          <w:sz w:val="28"/>
          <w:szCs w:val="28"/>
        </w:rPr>
      </w:pPr>
    </w:p>
    <w:p w:rsidR="00582CA9" w:rsidRPr="00D61D93" w:rsidRDefault="00582CA9" w:rsidP="00582CA9">
      <w:pPr>
        <w:suppressAutoHyphens/>
        <w:autoSpaceDE w:val="0"/>
        <w:autoSpaceDN w:val="0"/>
        <w:adjustRightInd w:val="0"/>
        <w:spacing w:line="276" w:lineRule="auto"/>
        <w:ind w:firstLine="720"/>
        <w:contextualSpacing/>
        <w:jc w:val="both"/>
        <w:outlineLvl w:val="0"/>
        <w:rPr>
          <w:sz w:val="28"/>
          <w:szCs w:val="28"/>
        </w:rPr>
      </w:pPr>
    </w:p>
    <w:p w:rsidR="00582CA9" w:rsidRPr="00D61D93" w:rsidRDefault="00582CA9" w:rsidP="00582CA9">
      <w:pPr>
        <w:spacing w:line="276" w:lineRule="auto"/>
        <w:contextualSpacing/>
        <w:jc w:val="both"/>
        <w:rPr>
          <w:sz w:val="28"/>
          <w:szCs w:val="28"/>
        </w:rPr>
      </w:pPr>
      <w:r w:rsidRPr="00D61D93">
        <w:rPr>
          <w:sz w:val="28"/>
          <w:szCs w:val="28"/>
        </w:rPr>
        <w:t>Премьер-министр</w:t>
      </w:r>
    </w:p>
    <w:p w:rsidR="00582CA9" w:rsidRPr="00D61D93" w:rsidRDefault="00582CA9" w:rsidP="00582CA9">
      <w:pPr>
        <w:spacing w:line="276" w:lineRule="auto"/>
        <w:contextualSpacing/>
        <w:jc w:val="both"/>
        <w:rPr>
          <w:sz w:val="28"/>
          <w:szCs w:val="28"/>
        </w:rPr>
      </w:pPr>
      <w:r w:rsidRPr="00D61D93">
        <w:rPr>
          <w:sz w:val="28"/>
          <w:szCs w:val="28"/>
        </w:rPr>
        <w:t xml:space="preserve">Республики Татарстан </w:t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proofErr w:type="spellStart"/>
      <w:r w:rsidRPr="00D61D93">
        <w:rPr>
          <w:sz w:val="28"/>
          <w:szCs w:val="28"/>
        </w:rPr>
        <w:t>А.В.Песошин</w:t>
      </w:r>
      <w:proofErr w:type="spellEnd"/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CA9" w:rsidRDefault="00582CA9" w:rsidP="00582C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CA9" w:rsidRPr="00D61D93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82CA9" w:rsidRPr="00D61D93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82CA9" w:rsidRPr="00D61D93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от _______ 2020 г. №_____</w:t>
      </w:r>
    </w:p>
    <w:p w:rsidR="00582CA9" w:rsidRPr="00D61D93" w:rsidRDefault="00582CA9" w:rsidP="0058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CA9" w:rsidRPr="00D61D93" w:rsidRDefault="00582CA9" w:rsidP="0058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</w:p>
    <w:p w:rsidR="00582CA9" w:rsidRPr="00D61D93" w:rsidRDefault="00582CA9" w:rsidP="0058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82CA9" w:rsidRPr="00D61D93" w:rsidRDefault="00582CA9" w:rsidP="0058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 xml:space="preserve">предоставления из бюджета Республики Татарстан </w:t>
      </w:r>
    </w:p>
    <w:p w:rsidR="00582CA9" w:rsidRPr="00D61D93" w:rsidRDefault="00582CA9" w:rsidP="0058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бюджетам муниципальных районов и городских округов </w:t>
      </w:r>
    </w:p>
    <w:p w:rsidR="00582CA9" w:rsidRDefault="00582CA9" w:rsidP="0058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2CA9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bookmarkStart w:id="2" w:name="P51"/>
      <w:bookmarkEnd w:id="2"/>
      <w:r w:rsidRPr="00D61D93">
        <w:rPr>
          <w:sz w:val="28"/>
          <w:szCs w:val="28"/>
        </w:rPr>
        <w:t xml:space="preserve">Настоящий Порядок определяет </w:t>
      </w:r>
      <w:r>
        <w:rPr>
          <w:sz w:val="28"/>
          <w:szCs w:val="28"/>
        </w:rPr>
        <w:t>механизм</w:t>
      </w:r>
      <w:r w:rsidRPr="00D61D93">
        <w:rPr>
          <w:sz w:val="28"/>
          <w:szCs w:val="28"/>
        </w:rPr>
        <w:t xml:space="preserve"> предоставления иных межбюджетных трансфертов из бюджета Республики Татарстан бюджетам </w:t>
      </w:r>
      <w:r w:rsidRPr="00C8741D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районов и городских округов</w:t>
      </w:r>
      <w:r w:rsidRPr="00D61D93">
        <w:rPr>
          <w:sz w:val="28"/>
          <w:szCs w:val="28"/>
        </w:rPr>
        <w:t xml:space="preserve"> Республики Татарстан (далее - иные межбюджетные трансферты</w:t>
      </w:r>
      <w:r>
        <w:rPr>
          <w:sz w:val="28"/>
          <w:szCs w:val="28"/>
        </w:rPr>
        <w:t>,</w:t>
      </w:r>
      <w:r w:rsidRPr="00DB7758">
        <w:rPr>
          <w:sz w:val="28"/>
          <w:szCs w:val="28"/>
        </w:rPr>
        <w:t xml:space="preserve"> </w:t>
      </w:r>
      <w:r w:rsidRPr="00D61D93">
        <w:rPr>
          <w:sz w:val="28"/>
          <w:szCs w:val="28"/>
        </w:rPr>
        <w:t>муниципальные образования).</w:t>
      </w:r>
    </w:p>
    <w:p w:rsidR="00582CA9" w:rsidRPr="00DB7758" w:rsidRDefault="00582CA9" w:rsidP="000E7BB6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B7758">
        <w:rPr>
          <w:sz w:val="28"/>
          <w:szCs w:val="28"/>
        </w:rPr>
        <w:t xml:space="preserve">Иные межбюджетные трансферты предоставляются в целях </w:t>
      </w:r>
      <w:r w:rsidR="00213B1C">
        <w:rPr>
          <w:sz w:val="28"/>
          <w:szCs w:val="28"/>
        </w:rPr>
        <w:t>финансового обеспечения расходов</w:t>
      </w:r>
      <w:r w:rsidR="000E7BB6">
        <w:rPr>
          <w:sz w:val="28"/>
          <w:szCs w:val="28"/>
        </w:rPr>
        <w:t xml:space="preserve"> муниципальных образований</w:t>
      </w:r>
      <w:r w:rsidR="00213B1C">
        <w:rPr>
          <w:sz w:val="28"/>
          <w:szCs w:val="28"/>
        </w:rPr>
        <w:t>, связанных</w:t>
      </w:r>
      <w:r w:rsidR="000E7BB6">
        <w:rPr>
          <w:sz w:val="28"/>
          <w:szCs w:val="28"/>
        </w:rPr>
        <w:t xml:space="preserve"> с обеспечением уровня заработной платы отдельных категорий работников бюджетной сферы, установленного </w:t>
      </w:r>
      <w:r w:rsidR="000E7BB6" w:rsidRPr="00D61D93">
        <w:rPr>
          <w:sz w:val="28"/>
          <w:szCs w:val="28"/>
        </w:rPr>
        <w:t>Федеральн</w:t>
      </w:r>
      <w:r w:rsidR="000E7BB6">
        <w:rPr>
          <w:sz w:val="28"/>
          <w:szCs w:val="28"/>
        </w:rPr>
        <w:t>ым</w:t>
      </w:r>
      <w:r w:rsidR="000E7BB6" w:rsidRPr="00D61D93">
        <w:rPr>
          <w:sz w:val="28"/>
          <w:szCs w:val="28"/>
        </w:rPr>
        <w:t xml:space="preserve"> закон</w:t>
      </w:r>
      <w:r w:rsidR="000E7BB6">
        <w:rPr>
          <w:sz w:val="28"/>
          <w:szCs w:val="28"/>
        </w:rPr>
        <w:t>ом</w:t>
      </w:r>
      <w:r w:rsidR="000E7BB6" w:rsidRPr="00D61D93">
        <w:rPr>
          <w:sz w:val="28"/>
          <w:szCs w:val="28"/>
        </w:rPr>
        <w:t xml:space="preserve"> от 19 июня 2000 года № 82-ФЗ «О минимальном размере оплаты труда», Указ</w:t>
      </w:r>
      <w:r w:rsidR="000E7BB6">
        <w:rPr>
          <w:sz w:val="28"/>
          <w:szCs w:val="28"/>
        </w:rPr>
        <w:t>ами</w:t>
      </w:r>
      <w:r w:rsidR="000E7BB6" w:rsidRPr="00D61D93">
        <w:rPr>
          <w:sz w:val="28"/>
          <w:szCs w:val="28"/>
        </w:rPr>
        <w:t xml:space="preserve"> Президента Российской Федерации от 7 мая 2012 год</w:t>
      </w:r>
      <w:r w:rsidR="000E7BB6">
        <w:rPr>
          <w:sz w:val="28"/>
          <w:szCs w:val="28"/>
        </w:rPr>
        <w:t>а № 597 «</w:t>
      </w:r>
      <w:r w:rsidR="000E7BB6" w:rsidRPr="00D61D93">
        <w:rPr>
          <w:sz w:val="28"/>
          <w:szCs w:val="28"/>
        </w:rPr>
        <w:t xml:space="preserve">О мероприятиях по реализации государственной социальной политики», от 1 июня 2012 года </w:t>
      </w:r>
      <w:hyperlink r:id="rId13" w:history="1">
        <w:r w:rsidR="000E7BB6" w:rsidRPr="00D61D93">
          <w:rPr>
            <w:sz w:val="28"/>
            <w:szCs w:val="28"/>
          </w:rPr>
          <w:t>№ 761</w:t>
        </w:r>
      </w:hyperlink>
      <w:r w:rsidR="000E7BB6" w:rsidRPr="00D61D93">
        <w:rPr>
          <w:sz w:val="28"/>
          <w:szCs w:val="28"/>
        </w:rPr>
        <w:t xml:space="preserve"> «О</w:t>
      </w:r>
      <w:proofErr w:type="gramEnd"/>
      <w:r w:rsidR="000E7BB6" w:rsidRPr="00D61D93">
        <w:rPr>
          <w:sz w:val="28"/>
          <w:szCs w:val="28"/>
        </w:rPr>
        <w:t xml:space="preserve"> Национальной стратегии действий в интересах детей на 2012 - 2017 годы»</w:t>
      </w:r>
      <w:r w:rsidR="000E7BB6">
        <w:rPr>
          <w:sz w:val="28"/>
          <w:szCs w:val="28"/>
        </w:rPr>
        <w:t>.</w:t>
      </w:r>
    </w:p>
    <w:p w:rsidR="00582CA9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70FD1">
        <w:rPr>
          <w:rFonts w:eastAsiaTheme="minorHAnsi"/>
          <w:sz w:val="28"/>
          <w:szCs w:val="28"/>
          <w:lang w:eastAsia="en-US"/>
        </w:rPr>
        <w:t xml:space="preserve">Иные межбюджетные трансферты </w:t>
      </w:r>
      <w:r w:rsidRPr="00870FD1">
        <w:rPr>
          <w:sz w:val="28"/>
          <w:szCs w:val="28"/>
        </w:rPr>
        <w:t>бюджетам</w:t>
      </w:r>
      <w:r w:rsidRPr="00D61D93">
        <w:rPr>
          <w:sz w:val="28"/>
          <w:szCs w:val="28"/>
        </w:rPr>
        <w:t xml:space="preserve"> муниципальных образований </w:t>
      </w:r>
      <w:r w:rsidRPr="00D61D93">
        <w:rPr>
          <w:rFonts w:eastAsiaTheme="minorHAnsi"/>
          <w:sz w:val="28"/>
          <w:szCs w:val="28"/>
          <w:lang w:eastAsia="en-US"/>
        </w:rPr>
        <w:t xml:space="preserve">предоставляются в </w:t>
      </w:r>
      <w:r w:rsidRPr="000E19E8">
        <w:rPr>
          <w:rFonts w:eastAsiaTheme="minorHAnsi"/>
          <w:sz w:val="28"/>
          <w:szCs w:val="28"/>
          <w:lang w:eastAsia="en-US"/>
        </w:rPr>
        <w:t>пределах бюджетных ассигнований и лимитов бюджетных обязательств, предусмотренных</w:t>
      </w:r>
      <w:r w:rsidRPr="00DB775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указанные цели </w:t>
      </w:r>
      <w:r w:rsidRPr="00DB7758">
        <w:rPr>
          <w:rFonts w:eastAsiaTheme="minorHAnsi"/>
          <w:sz w:val="28"/>
          <w:szCs w:val="28"/>
          <w:lang w:eastAsia="en-US"/>
        </w:rPr>
        <w:t>законом</w:t>
      </w:r>
      <w:r w:rsidRPr="00D61D93">
        <w:rPr>
          <w:rFonts w:eastAsiaTheme="minorHAnsi"/>
          <w:sz w:val="28"/>
          <w:szCs w:val="28"/>
          <w:lang w:eastAsia="en-US"/>
        </w:rPr>
        <w:t xml:space="preserve"> Республики Татарстан о бюджете Республики Татарстан на соответствующий фина</w:t>
      </w:r>
      <w:r>
        <w:rPr>
          <w:rFonts w:eastAsiaTheme="minorHAnsi"/>
          <w:sz w:val="28"/>
          <w:szCs w:val="28"/>
          <w:lang w:eastAsia="en-US"/>
        </w:rPr>
        <w:t>нсовый год и на плановый период</w:t>
      </w:r>
      <w:r w:rsidRPr="00D61D93">
        <w:rPr>
          <w:rFonts w:eastAsiaTheme="minorHAnsi"/>
          <w:sz w:val="28"/>
          <w:szCs w:val="28"/>
          <w:lang w:eastAsia="en-US"/>
        </w:rPr>
        <w:t>.</w:t>
      </w:r>
    </w:p>
    <w:p w:rsidR="00582CA9" w:rsidRPr="00870FD1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61D93">
        <w:rPr>
          <w:sz w:val="28"/>
          <w:szCs w:val="28"/>
        </w:rPr>
        <w:t xml:space="preserve">Главным распорядителем средств </w:t>
      </w:r>
      <w:r w:rsidRPr="00D61D93">
        <w:rPr>
          <w:rFonts w:eastAsiaTheme="minorHAnsi"/>
          <w:sz w:val="28"/>
          <w:szCs w:val="28"/>
          <w:lang w:eastAsia="en-US"/>
        </w:rPr>
        <w:t>бюджета Республики Татарстан,</w:t>
      </w:r>
      <w:r w:rsidRPr="00D61D93">
        <w:rPr>
          <w:sz w:val="28"/>
          <w:szCs w:val="28"/>
        </w:rPr>
        <w:t xml:space="preserve"> </w:t>
      </w:r>
      <w:r w:rsidRPr="00D61D93">
        <w:rPr>
          <w:rFonts w:eastAsiaTheme="minorHAnsi"/>
          <w:sz w:val="28"/>
          <w:szCs w:val="28"/>
          <w:lang w:eastAsia="en-US"/>
        </w:rPr>
        <w:t>предоставл</w:t>
      </w:r>
      <w:r>
        <w:rPr>
          <w:rFonts w:eastAsiaTheme="minorHAnsi"/>
          <w:sz w:val="28"/>
          <w:szCs w:val="28"/>
          <w:lang w:eastAsia="en-US"/>
        </w:rPr>
        <w:t>яемых в соответствии с настоящим Порядком,</w:t>
      </w:r>
      <w:r w:rsidRPr="00D61D93">
        <w:rPr>
          <w:rFonts w:eastAsiaTheme="minorHAnsi"/>
          <w:sz w:val="28"/>
          <w:szCs w:val="28"/>
          <w:lang w:eastAsia="en-US"/>
        </w:rPr>
        <w:t xml:space="preserve"> </w:t>
      </w:r>
      <w:r w:rsidRPr="00870FD1">
        <w:rPr>
          <w:rFonts w:eastAsiaTheme="minorHAnsi"/>
          <w:sz w:val="28"/>
          <w:szCs w:val="28"/>
          <w:lang w:eastAsia="en-US"/>
        </w:rPr>
        <w:t xml:space="preserve">является </w:t>
      </w:r>
      <w:r w:rsidRPr="00870FD1">
        <w:rPr>
          <w:sz w:val="28"/>
          <w:szCs w:val="28"/>
        </w:rPr>
        <w:t>Министерство финансов Республики Татарстан</w:t>
      </w:r>
      <w:r w:rsidRPr="00870FD1">
        <w:rPr>
          <w:rFonts w:eastAsiaTheme="minorHAnsi"/>
          <w:sz w:val="28"/>
          <w:szCs w:val="28"/>
          <w:lang w:eastAsia="en-US"/>
        </w:rPr>
        <w:t xml:space="preserve"> (далее - Министерство).</w:t>
      </w:r>
    </w:p>
    <w:p w:rsidR="00582CA9" w:rsidRPr="00345631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90387">
        <w:rPr>
          <w:sz w:val="28"/>
          <w:szCs w:val="28"/>
          <w:highlight w:val="yellow"/>
        </w:rPr>
        <w:t>Критерием</w:t>
      </w:r>
      <w:r w:rsidRPr="00345631">
        <w:rPr>
          <w:sz w:val="28"/>
          <w:szCs w:val="28"/>
        </w:rPr>
        <w:t xml:space="preserve"> отбора муниципальных образований для предоставления им иных межбюджетных трансфертов является принятие </w:t>
      </w:r>
      <w:r w:rsidRPr="000E19E8">
        <w:rPr>
          <w:sz w:val="28"/>
          <w:szCs w:val="28"/>
        </w:rPr>
        <w:t>решения Кабинета Министров Республики Татарстан о предоставлении бюджетам муници</w:t>
      </w:r>
      <w:r w:rsidRPr="00345631">
        <w:rPr>
          <w:sz w:val="28"/>
          <w:szCs w:val="28"/>
        </w:rPr>
        <w:t>пальных образований Республики Татарстан</w:t>
      </w:r>
      <w:r w:rsidR="000E7BB6">
        <w:rPr>
          <w:sz w:val="28"/>
          <w:szCs w:val="28"/>
        </w:rPr>
        <w:t xml:space="preserve"> иных межбюджетных трансфертов</w:t>
      </w:r>
      <w:r w:rsidRPr="00345631">
        <w:rPr>
          <w:sz w:val="28"/>
          <w:szCs w:val="28"/>
        </w:rPr>
        <w:t>.</w:t>
      </w:r>
    </w:p>
    <w:p w:rsidR="00582CA9" w:rsidRPr="00345631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45631">
        <w:rPr>
          <w:sz w:val="28"/>
          <w:szCs w:val="28"/>
        </w:rPr>
        <w:t xml:space="preserve"> Условиями</w:t>
      </w:r>
      <w:r w:rsidRPr="00345631">
        <w:rPr>
          <w:rFonts w:eastAsiaTheme="minorHAnsi"/>
          <w:sz w:val="28"/>
          <w:szCs w:val="28"/>
          <w:lang w:eastAsia="en-US"/>
        </w:rPr>
        <w:t xml:space="preserve"> предоставления иных межбюджетных трансфертов являются:</w:t>
      </w:r>
    </w:p>
    <w:p w:rsidR="00582CA9" w:rsidRPr="00345631" w:rsidRDefault="00582CA9" w:rsidP="00582CA9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45631">
        <w:rPr>
          <w:rFonts w:eastAsiaTheme="minorHAnsi"/>
          <w:sz w:val="28"/>
          <w:szCs w:val="28"/>
          <w:lang w:eastAsia="en-US"/>
        </w:rPr>
        <w:t xml:space="preserve">наличие в бюджете муниципального образования </w:t>
      </w:r>
      <w:r w:rsidRPr="00345631">
        <w:rPr>
          <w:sz w:val="28"/>
          <w:szCs w:val="28"/>
        </w:rPr>
        <w:t xml:space="preserve">(сводной бюджетной росписи бюджета муниципального образования) </w:t>
      </w:r>
      <w:r w:rsidRPr="00345631">
        <w:rPr>
          <w:rFonts w:eastAsiaTheme="minorHAnsi"/>
          <w:sz w:val="28"/>
          <w:szCs w:val="28"/>
          <w:lang w:eastAsia="en-US"/>
        </w:rPr>
        <w:t xml:space="preserve">бюджетных ассигнований на исполнение расходных обязательств муниципального образования за счет </w:t>
      </w:r>
      <w:r w:rsidRPr="00345631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из бюджета Республики Татарстан </w:t>
      </w:r>
      <w:r w:rsidRPr="00345631">
        <w:rPr>
          <w:sz w:val="28"/>
          <w:szCs w:val="28"/>
        </w:rPr>
        <w:t>иных межбюджетных трансфертов;</w:t>
      </w:r>
    </w:p>
    <w:p w:rsidR="00582CA9" w:rsidRPr="00345631" w:rsidRDefault="00582CA9" w:rsidP="00582CA9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45631">
        <w:rPr>
          <w:rFonts w:eastAsiaTheme="minorHAnsi"/>
          <w:sz w:val="28"/>
          <w:szCs w:val="28"/>
          <w:lang w:eastAsia="en-US"/>
        </w:rPr>
        <w:t>заключение соглашения о предоставлении иных межбюджетных трансфертов между Министерством и уполномоченным органом местного самоуправления муниципального образования (далее – уполномоченный орган).</w:t>
      </w:r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bookmarkStart w:id="3" w:name="P60"/>
      <w:bookmarkEnd w:id="3"/>
      <w:r w:rsidRPr="00D61D93">
        <w:rPr>
          <w:sz w:val="28"/>
          <w:szCs w:val="28"/>
        </w:rPr>
        <w:t xml:space="preserve">Общий объем иных </w:t>
      </w:r>
      <w:r w:rsidRPr="00D61D93">
        <w:rPr>
          <w:rFonts w:eastAsiaTheme="minorHAnsi"/>
          <w:sz w:val="28"/>
          <w:szCs w:val="28"/>
          <w:lang w:eastAsia="en-US"/>
        </w:rPr>
        <w:t>межбюджетных трансфертов</w:t>
      </w:r>
      <w:r w:rsidRPr="00D61D93">
        <w:rPr>
          <w:sz w:val="28"/>
          <w:szCs w:val="28"/>
        </w:rPr>
        <w:t>, предоставляемых бюджетам</w:t>
      </w:r>
      <w:r w:rsidRPr="00D61D93">
        <w:rPr>
          <w:rFonts w:eastAsia="Calibri"/>
          <w:sz w:val="28"/>
          <w:szCs w:val="28"/>
        </w:rPr>
        <w:t xml:space="preserve"> </w:t>
      </w:r>
      <w:r w:rsidRPr="00D61D93">
        <w:rPr>
          <w:rFonts w:eastAsiaTheme="minorHAnsi"/>
          <w:sz w:val="28"/>
          <w:szCs w:val="28"/>
          <w:lang w:eastAsia="en-US"/>
        </w:rPr>
        <w:t xml:space="preserve">муниципальных образований </w:t>
      </w:r>
      <w:r w:rsidRPr="00D61D93">
        <w:rPr>
          <w:sz w:val="28"/>
          <w:szCs w:val="28"/>
        </w:rPr>
        <w:t>(</w:t>
      </w:r>
      <w:r w:rsidRPr="00D61D93">
        <w:rPr>
          <w:i/>
          <w:sz w:val="28"/>
          <w:szCs w:val="28"/>
          <w:lang w:val="en-US"/>
        </w:rPr>
        <w:t>S</w:t>
      </w:r>
      <w:r w:rsidRPr="00D61D93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Pr="00D61D93">
        <w:rPr>
          <w:sz w:val="28"/>
          <w:szCs w:val="28"/>
        </w:rPr>
        <w:t>, определяется по</w:t>
      </w:r>
      <w:r>
        <w:rPr>
          <w:sz w:val="28"/>
          <w:szCs w:val="28"/>
        </w:rPr>
        <w:t xml:space="preserve"> следующей</w:t>
      </w:r>
      <w:r w:rsidRPr="00D61D93">
        <w:rPr>
          <w:sz w:val="28"/>
          <w:szCs w:val="28"/>
        </w:rPr>
        <w:t xml:space="preserve"> формуле:</w:t>
      </w:r>
    </w:p>
    <w:p w:rsidR="00582CA9" w:rsidRPr="00D61D93" w:rsidRDefault="00582CA9" w:rsidP="00582CA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82CA9" w:rsidRPr="00D61D93" w:rsidRDefault="00582CA9" w:rsidP="00582CA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p>
              </m:sSubSup>
            </m:e>
          </m:nary>
          <m:r>
            <w:rPr>
              <w:rFonts w:ascii="Cambria Math" w:hAnsi="Cambria Math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)*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*m*(1+k)    ,</m:t>
          </m:r>
        </m:oMath>
      </m:oMathPara>
    </w:p>
    <w:p w:rsidR="00582CA9" w:rsidRPr="00D61D93" w:rsidRDefault="00582CA9" w:rsidP="00582CA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82CA9" w:rsidRPr="00D61D93" w:rsidRDefault="00582CA9" w:rsidP="00582CA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где:</w:t>
      </w:r>
    </w:p>
    <w:p w:rsidR="00582CA9" w:rsidRPr="00D61D93" w:rsidRDefault="00B048D2" w:rsidP="00582CA9">
      <w:pPr>
        <w:pStyle w:val="ConsPlusNormal"/>
        <w:tabs>
          <w:tab w:val="left" w:pos="4536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bSup>
      </m:oMath>
      <w:r w:rsidR="00582CA9" w:rsidRPr="00D61D93">
        <w:rPr>
          <w:rFonts w:ascii="Times New Roman" w:hAnsi="Times New Roman" w:cs="Times New Roman"/>
          <w:sz w:val="28"/>
          <w:szCs w:val="28"/>
        </w:rPr>
        <w:t xml:space="preserve"> – </w:t>
      </w:r>
      <w:r w:rsidR="00582CA9" w:rsidRPr="00D61D93">
        <w:rPr>
          <w:rFonts w:ascii="Times New Roman" w:hAnsi="Times New Roman" w:cs="Times New Roman"/>
          <w:sz w:val="28"/>
          <w:szCs w:val="28"/>
          <w:lang w:val="tt-RU"/>
        </w:rPr>
        <w:t xml:space="preserve">планируемый </w:t>
      </w:r>
      <w:r w:rsidR="00582CA9" w:rsidRPr="00D61D93">
        <w:rPr>
          <w:rFonts w:ascii="Times New Roman" w:hAnsi="Times New Roman" w:cs="Times New Roman"/>
          <w:sz w:val="28"/>
          <w:szCs w:val="28"/>
        </w:rPr>
        <w:t xml:space="preserve">размер средней заработной платы </w:t>
      </w:r>
      <w:r w:rsidR="00582CA9" w:rsidRPr="00D61D9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82CA9" w:rsidRPr="00D61D93">
        <w:rPr>
          <w:rFonts w:ascii="Times New Roman" w:hAnsi="Times New Roman" w:cs="Times New Roman"/>
          <w:sz w:val="28"/>
          <w:szCs w:val="28"/>
          <w:lang w:val="tt-RU"/>
        </w:rPr>
        <w:t xml:space="preserve"> категории работников</w:t>
      </w:r>
      <w:r w:rsidR="00582CA9">
        <w:rPr>
          <w:rFonts w:ascii="Times New Roman" w:hAnsi="Times New Roman" w:cs="Times New Roman"/>
          <w:sz w:val="28"/>
          <w:szCs w:val="28"/>
          <w:lang w:val="tt-RU"/>
        </w:rPr>
        <w:t xml:space="preserve"> за плановый период</w:t>
      </w:r>
      <w:r w:rsidR="00582CA9" w:rsidRPr="00D61D9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82CA9" w:rsidRPr="00D61D93" w:rsidRDefault="00B048D2" w:rsidP="00582CA9">
      <w:pPr>
        <w:pStyle w:val="ConsPlusNormal"/>
        <w:tabs>
          <w:tab w:val="left" w:pos="4536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sup>
        </m:sSubSup>
      </m:oMath>
      <w:r w:rsidR="00582CA9" w:rsidRPr="00D61D93">
        <w:rPr>
          <w:rFonts w:ascii="Times New Roman" w:hAnsi="Times New Roman" w:cs="Times New Roman"/>
          <w:sz w:val="28"/>
          <w:szCs w:val="28"/>
        </w:rPr>
        <w:t xml:space="preserve"> – </w:t>
      </w:r>
      <w:r w:rsidR="00582CA9" w:rsidRPr="00D61D93">
        <w:rPr>
          <w:rFonts w:ascii="Times New Roman" w:hAnsi="Times New Roman" w:cs="Times New Roman"/>
          <w:sz w:val="28"/>
          <w:szCs w:val="28"/>
          <w:lang w:val="tt-RU"/>
        </w:rPr>
        <w:t xml:space="preserve">фактический </w:t>
      </w:r>
      <w:r w:rsidR="00582CA9" w:rsidRPr="00D61D93">
        <w:rPr>
          <w:rFonts w:ascii="Times New Roman" w:hAnsi="Times New Roman" w:cs="Times New Roman"/>
          <w:sz w:val="28"/>
          <w:szCs w:val="28"/>
        </w:rPr>
        <w:t xml:space="preserve">размер средней заработной платы </w:t>
      </w:r>
      <w:r w:rsidR="00582CA9" w:rsidRPr="00D61D9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82CA9" w:rsidRPr="00D61D93">
        <w:rPr>
          <w:rFonts w:ascii="Times New Roman" w:hAnsi="Times New Roman" w:cs="Times New Roman"/>
          <w:sz w:val="28"/>
          <w:szCs w:val="28"/>
          <w:lang w:val="tt-RU"/>
        </w:rPr>
        <w:t xml:space="preserve"> категории работников</w:t>
      </w:r>
      <w:r w:rsidR="00582CA9">
        <w:rPr>
          <w:rFonts w:ascii="Times New Roman" w:hAnsi="Times New Roman" w:cs="Times New Roman"/>
          <w:sz w:val="28"/>
          <w:szCs w:val="28"/>
          <w:lang w:val="tt-RU"/>
        </w:rPr>
        <w:t xml:space="preserve"> за отчетный период</w:t>
      </w:r>
      <w:r w:rsidR="00582CA9" w:rsidRPr="00D61D9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82CA9" w:rsidRPr="00D61D93" w:rsidRDefault="00B048D2" w:rsidP="00582CA9">
      <w:pPr>
        <w:pStyle w:val="ConsPlusNormal"/>
        <w:tabs>
          <w:tab w:val="left" w:pos="4536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 w:rsidR="00582CA9" w:rsidRPr="00D61D93">
        <w:rPr>
          <w:rFonts w:ascii="Times New Roman" w:hAnsi="Times New Roman" w:cs="Times New Roman"/>
          <w:sz w:val="28"/>
          <w:szCs w:val="28"/>
        </w:rPr>
        <w:t xml:space="preserve"> – общая численность </w:t>
      </w:r>
      <w:r w:rsidR="00582CA9" w:rsidRPr="00D61D9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82CA9" w:rsidRPr="00D61D93">
        <w:rPr>
          <w:rFonts w:ascii="Times New Roman" w:hAnsi="Times New Roman" w:cs="Times New Roman"/>
          <w:sz w:val="28"/>
          <w:szCs w:val="28"/>
          <w:lang w:val="tt-RU"/>
        </w:rPr>
        <w:t xml:space="preserve"> категории работников во всех муниципальных образованиях</w:t>
      </w:r>
      <w:r w:rsidR="00582CA9" w:rsidRPr="00D61D93">
        <w:rPr>
          <w:rFonts w:ascii="Times New Roman" w:hAnsi="Times New Roman" w:cs="Times New Roman"/>
          <w:sz w:val="28"/>
          <w:szCs w:val="28"/>
        </w:rPr>
        <w:t>;</w:t>
      </w:r>
    </w:p>
    <w:p w:rsidR="00582CA9" w:rsidRPr="00D61D93" w:rsidRDefault="00582CA9" w:rsidP="00582CA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</m:t>
        </m:r>
      </m:oMath>
      <w:r w:rsidRPr="00D61D93">
        <w:rPr>
          <w:i/>
          <w:sz w:val="28"/>
          <w:szCs w:val="28"/>
        </w:rPr>
        <w:t xml:space="preserve"> – </w:t>
      </w:r>
      <w:r w:rsidRPr="00D61D93">
        <w:rPr>
          <w:sz w:val="28"/>
          <w:szCs w:val="28"/>
        </w:rPr>
        <w:t>количество месяцев;</w:t>
      </w:r>
    </w:p>
    <w:p w:rsidR="00582CA9" w:rsidRPr="00D61D93" w:rsidRDefault="00582CA9" w:rsidP="00582CA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m:oMath>
        <m:r>
          <w:rPr>
            <w:rFonts w:ascii="Cambria Math" w:hAnsi="Cambria Math"/>
            <w:sz w:val="28"/>
            <w:szCs w:val="28"/>
          </w:rPr>
          <m:t>k</m:t>
        </m:r>
      </m:oMath>
      <w:r w:rsidRPr="00D61D93">
        <w:rPr>
          <w:i/>
          <w:sz w:val="28"/>
          <w:szCs w:val="28"/>
          <w:lang w:val="tt-RU"/>
        </w:rPr>
        <w:t xml:space="preserve"> - </w:t>
      </w:r>
      <w:r w:rsidRPr="00D61D93">
        <w:rPr>
          <w:rFonts w:eastAsiaTheme="minorHAnsi"/>
          <w:sz w:val="28"/>
          <w:szCs w:val="28"/>
          <w:lang w:eastAsia="en-US"/>
        </w:rPr>
        <w:t>ставка начислений на выплаты по оплате труда;</w:t>
      </w:r>
    </w:p>
    <w:p w:rsidR="00582CA9" w:rsidRPr="00D61D93" w:rsidRDefault="00582CA9" w:rsidP="00582CA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sz w:val="28"/>
          <w:szCs w:val="28"/>
          <w:lang w:val="tt-RU"/>
        </w:rPr>
      </w:pPr>
      <w:r w:rsidRPr="00D61D93">
        <w:rPr>
          <w:rFonts w:eastAsiaTheme="minorHAnsi"/>
          <w:sz w:val="28"/>
          <w:szCs w:val="28"/>
          <w:lang w:val="en-US" w:eastAsia="en-US"/>
        </w:rPr>
        <w:t>n</w:t>
      </w:r>
      <w:r w:rsidRPr="00D61D93">
        <w:rPr>
          <w:rFonts w:eastAsiaTheme="minorHAnsi"/>
          <w:sz w:val="28"/>
          <w:szCs w:val="28"/>
          <w:lang w:eastAsia="en-US"/>
        </w:rPr>
        <w:t xml:space="preserve"> – </w:t>
      </w:r>
      <w:proofErr w:type="gramStart"/>
      <w:r w:rsidRPr="00D61D93">
        <w:rPr>
          <w:rFonts w:eastAsiaTheme="minorHAnsi"/>
          <w:sz w:val="28"/>
          <w:szCs w:val="28"/>
          <w:lang w:eastAsia="en-US"/>
        </w:rPr>
        <w:t>количество</w:t>
      </w:r>
      <w:proofErr w:type="gramEnd"/>
      <w:r w:rsidRPr="00D61D93">
        <w:rPr>
          <w:rFonts w:eastAsiaTheme="minorHAnsi"/>
          <w:sz w:val="28"/>
          <w:szCs w:val="28"/>
          <w:lang w:eastAsia="en-US"/>
        </w:rPr>
        <w:t xml:space="preserve"> категорий работников</w:t>
      </w:r>
      <w:r w:rsidRPr="00D61D93">
        <w:rPr>
          <w:rFonts w:eastAsiaTheme="minorHAnsi"/>
          <w:sz w:val="28"/>
          <w:szCs w:val="28"/>
          <w:lang w:val="tt-RU" w:eastAsia="en-US"/>
        </w:rPr>
        <w:t>.</w:t>
      </w:r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61D93">
        <w:rPr>
          <w:sz w:val="28"/>
          <w:szCs w:val="28"/>
        </w:rPr>
        <w:t xml:space="preserve">Объем иных межбюджетных трансфертов, предоставляемый бюджету </w:t>
      </w:r>
      <w:proofErr w:type="spellStart"/>
      <w:r w:rsidRPr="00D61D93">
        <w:rPr>
          <w:sz w:val="28"/>
          <w:szCs w:val="28"/>
          <w:lang w:val="en-US"/>
        </w:rPr>
        <w:t>i</w:t>
      </w:r>
      <w:proofErr w:type="spellEnd"/>
      <w:r w:rsidRPr="00D61D93">
        <w:rPr>
          <w:sz w:val="28"/>
          <w:szCs w:val="28"/>
        </w:rPr>
        <w:t>-го муниципального образования (</w:t>
      </w:r>
      <w:r w:rsidRPr="00D61D93">
        <w:rPr>
          <w:i/>
          <w:sz w:val="28"/>
          <w:szCs w:val="28"/>
          <w:lang w:val="en-US"/>
        </w:rPr>
        <w:t>S</w:t>
      </w:r>
      <w:r w:rsidRPr="00D61D93">
        <w:rPr>
          <w:i/>
          <w:sz w:val="28"/>
          <w:szCs w:val="28"/>
          <w:vertAlign w:val="subscript"/>
          <w:lang w:val="en-US"/>
        </w:rPr>
        <w:t>i</w:t>
      </w:r>
      <w:r w:rsidRPr="00D61D93">
        <w:rPr>
          <w:sz w:val="28"/>
          <w:szCs w:val="28"/>
        </w:rPr>
        <w:t xml:space="preserve">), рассчитывается </w:t>
      </w:r>
      <w:r w:rsidRPr="00D61D93">
        <w:rPr>
          <w:sz w:val="28"/>
          <w:szCs w:val="28"/>
          <w:lang w:val="tt-RU"/>
        </w:rPr>
        <w:t xml:space="preserve">по </w:t>
      </w:r>
      <w:r w:rsidRPr="00D61D93">
        <w:rPr>
          <w:sz w:val="28"/>
          <w:szCs w:val="28"/>
        </w:rPr>
        <w:t>формуле:</w:t>
      </w:r>
    </w:p>
    <w:p w:rsidR="00582CA9" w:rsidRPr="00D61D93" w:rsidRDefault="00582CA9" w:rsidP="00582CA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582CA9" w:rsidRPr="00D61D93" w:rsidRDefault="00B048D2" w:rsidP="00582CA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</m:e>
                    <m:sub/>
                  </m:sSub>
                </m:e>
              </m:nary>
            </m:den>
          </m:f>
          <m:r>
            <w:rPr>
              <w:rFonts w:ascii="Cambria Math" w:hAnsi="Cambria Math"/>
              <w:sz w:val="28"/>
              <w:szCs w:val="28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ij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582CA9" w:rsidRPr="00D61D93" w:rsidRDefault="00582CA9" w:rsidP="00582CA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2CA9" w:rsidRPr="00D61D93" w:rsidRDefault="00582CA9" w:rsidP="00582CA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где:</w:t>
      </w:r>
    </w:p>
    <w:p w:rsidR="00582CA9" w:rsidRPr="00D61D93" w:rsidRDefault="00B048D2" w:rsidP="00582CA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</m:oMath>
      <w:r w:rsidR="00582CA9" w:rsidRPr="00D61D93">
        <w:rPr>
          <w:rFonts w:ascii="Times New Roman" w:hAnsi="Times New Roman" w:cs="Times New Roman"/>
          <w:sz w:val="28"/>
          <w:szCs w:val="28"/>
        </w:rPr>
        <w:t xml:space="preserve"> - численность </w:t>
      </w:r>
      <w:r w:rsidR="00582CA9" w:rsidRPr="00D61D9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82CA9" w:rsidRPr="00D61D93">
        <w:rPr>
          <w:rFonts w:ascii="Times New Roman" w:hAnsi="Times New Roman" w:cs="Times New Roman"/>
          <w:sz w:val="28"/>
          <w:szCs w:val="28"/>
          <w:lang w:val="tt-RU"/>
        </w:rPr>
        <w:t xml:space="preserve"> категории работников в</w:t>
      </w:r>
      <w:r w:rsidR="00582CA9" w:rsidRPr="00D61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CA9" w:rsidRPr="00D61D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82CA9" w:rsidRPr="00D61D93">
        <w:rPr>
          <w:rFonts w:ascii="Times New Roman" w:hAnsi="Times New Roman" w:cs="Times New Roman"/>
          <w:sz w:val="28"/>
          <w:szCs w:val="28"/>
        </w:rPr>
        <w:t xml:space="preserve"> </w:t>
      </w:r>
      <w:r w:rsidR="00582CA9" w:rsidRPr="00D61D93">
        <w:rPr>
          <w:rFonts w:ascii="Times New Roman" w:hAnsi="Times New Roman" w:cs="Times New Roman"/>
          <w:sz w:val="28"/>
          <w:szCs w:val="28"/>
          <w:lang w:val="tt-RU"/>
        </w:rPr>
        <w:t>муниципальном образовании;</w:t>
      </w:r>
    </w:p>
    <w:p w:rsidR="00582CA9" w:rsidRPr="00D61D93" w:rsidRDefault="00582CA9" w:rsidP="00582CA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 w:rsidRPr="00D61D93">
        <w:rPr>
          <w:rFonts w:ascii="Times New Roman" w:hAnsi="Times New Roman" w:cs="Times New Roman"/>
          <w:sz w:val="28"/>
          <w:szCs w:val="28"/>
        </w:rPr>
        <w:t xml:space="preserve"> - </w:t>
      </w:r>
      <w:r w:rsidRPr="00D61D93">
        <w:rPr>
          <w:rFonts w:ascii="Times New Roman" w:hAnsi="Times New Roman" w:cs="Times New Roman"/>
          <w:sz w:val="28"/>
          <w:szCs w:val="28"/>
          <w:lang w:val="tt-RU"/>
        </w:rPr>
        <w:t>муниципальное образование, являющееся получателем иных межбюджетных трансфертов;</w:t>
      </w:r>
    </w:p>
    <w:p w:rsidR="00582CA9" w:rsidRPr="00D61D93" w:rsidRDefault="00582CA9" w:rsidP="00582CA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Pr="00D61D93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D61D93">
        <w:rPr>
          <w:rFonts w:ascii="Times New Roman" w:hAnsi="Times New Roman" w:cs="Times New Roman"/>
          <w:sz w:val="28"/>
          <w:szCs w:val="28"/>
          <w:lang w:val="tt-RU"/>
        </w:rPr>
        <w:t>количество муниципальных образований – получателей иных межбюджетных трансфертов.</w:t>
      </w:r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61D93">
        <w:rPr>
          <w:rFonts w:eastAsiaTheme="minorHAnsi"/>
          <w:sz w:val="28"/>
          <w:szCs w:val="28"/>
          <w:lang w:eastAsia="en-US"/>
        </w:rPr>
        <w:t xml:space="preserve">Предоставление иных межбюджетных трансфертов осуществляется на основании соглашения о предоставлении </w:t>
      </w:r>
      <w:r w:rsidRPr="000E19E8">
        <w:rPr>
          <w:rFonts w:eastAsiaTheme="minorHAnsi"/>
          <w:sz w:val="28"/>
          <w:szCs w:val="28"/>
          <w:lang w:eastAsia="en-US"/>
        </w:rPr>
        <w:t xml:space="preserve">иных межбюджетных трансфертов, заключаемого между Министерством и </w:t>
      </w:r>
      <w:r w:rsidR="00590387">
        <w:rPr>
          <w:rFonts w:eastAsiaTheme="minorHAnsi"/>
          <w:sz w:val="28"/>
          <w:szCs w:val="28"/>
          <w:lang w:eastAsia="en-US"/>
        </w:rPr>
        <w:t>уполномоченным</w:t>
      </w:r>
      <w:r w:rsidRPr="000E19E8">
        <w:rPr>
          <w:rFonts w:eastAsiaTheme="minorHAnsi"/>
          <w:sz w:val="28"/>
          <w:szCs w:val="28"/>
          <w:lang w:eastAsia="en-US"/>
        </w:rPr>
        <w:t xml:space="preserve"> орга</w:t>
      </w:r>
      <w:r w:rsidR="00590387">
        <w:rPr>
          <w:rFonts w:eastAsiaTheme="minorHAnsi"/>
          <w:sz w:val="28"/>
          <w:szCs w:val="28"/>
          <w:lang w:eastAsia="en-US"/>
        </w:rPr>
        <w:t>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C3A27">
        <w:rPr>
          <w:rFonts w:eastAsiaTheme="minorHAnsi"/>
          <w:sz w:val="28"/>
          <w:szCs w:val="28"/>
          <w:lang w:eastAsia="en-US"/>
        </w:rPr>
        <w:t>в соответствии с формой, утверждаемой Министерством (далее - соглашение).</w:t>
      </w:r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61D93">
        <w:rPr>
          <w:rFonts w:eastAsiaTheme="minorHAnsi"/>
          <w:sz w:val="28"/>
          <w:szCs w:val="28"/>
          <w:lang w:eastAsia="en-US"/>
        </w:rPr>
        <w:t>В соглашении предусматриваются:</w:t>
      </w:r>
    </w:p>
    <w:p w:rsidR="00582CA9" w:rsidRPr="000E19E8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9E8">
        <w:rPr>
          <w:rFonts w:eastAsiaTheme="minorHAnsi"/>
          <w:sz w:val="28"/>
          <w:szCs w:val="28"/>
          <w:lang w:eastAsia="en-US"/>
        </w:rPr>
        <w:lastRenderedPageBreak/>
        <w:t>размер иного межбюджетного трансферта, его целевое назначение;</w:t>
      </w:r>
    </w:p>
    <w:p w:rsidR="00582CA9" w:rsidRPr="000E19E8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9E8">
        <w:rPr>
          <w:rFonts w:eastAsiaTheme="minorHAnsi"/>
          <w:sz w:val="28"/>
          <w:szCs w:val="28"/>
          <w:lang w:eastAsia="en-US"/>
        </w:rPr>
        <w:t>значения показателя результативности использования иного межбюджетного трансферта;</w:t>
      </w:r>
    </w:p>
    <w:p w:rsidR="00582CA9" w:rsidRPr="000E19E8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9E8">
        <w:rPr>
          <w:rFonts w:eastAsiaTheme="minorHAnsi"/>
          <w:sz w:val="28"/>
          <w:szCs w:val="28"/>
          <w:lang w:eastAsia="en-US"/>
        </w:rPr>
        <w:t>порядок и сроки перечисления иного межбюджетного трансферта;</w:t>
      </w:r>
    </w:p>
    <w:p w:rsidR="00582CA9" w:rsidRPr="000E19E8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9E8">
        <w:rPr>
          <w:rFonts w:eastAsiaTheme="minorHAnsi"/>
          <w:sz w:val="28"/>
          <w:szCs w:val="28"/>
          <w:lang w:eastAsia="en-US"/>
        </w:rPr>
        <w:t>сроки, порядок и формы представления отчетности об использовании иного межбюджетного трансферта и достижении показателя результативности использования иного межбюджетного трансферта;</w:t>
      </w:r>
    </w:p>
    <w:p w:rsidR="00582CA9" w:rsidRPr="000E19E8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9E8">
        <w:rPr>
          <w:rFonts w:eastAsiaTheme="minorHAnsi"/>
          <w:sz w:val="28"/>
          <w:szCs w:val="28"/>
          <w:lang w:eastAsia="en-US"/>
        </w:rPr>
        <w:t xml:space="preserve">порядок осуществления </w:t>
      </w:r>
      <w:proofErr w:type="gramStart"/>
      <w:r w:rsidRPr="000E19E8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0E19E8">
        <w:rPr>
          <w:rFonts w:eastAsiaTheme="minorHAnsi"/>
          <w:sz w:val="28"/>
          <w:szCs w:val="28"/>
          <w:lang w:eastAsia="en-US"/>
        </w:rPr>
        <w:t xml:space="preserve"> соблюдением </w:t>
      </w:r>
      <w:r>
        <w:rPr>
          <w:rFonts w:eastAsiaTheme="minorHAnsi"/>
          <w:sz w:val="28"/>
          <w:szCs w:val="28"/>
          <w:lang w:eastAsia="en-US"/>
        </w:rPr>
        <w:t>уполномоченным органом</w:t>
      </w:r>
      <w:r w:rsidRPr="000E19E8">
        <w:rPr>
          <w:rFonts w:eastAsiaTheme="minorHAnsi"/>
          <w:sz w:val="28"/>
          <w:szCs w:val="28"/>
          <w:lang w:eastAsia="en-US"/>
        </w:rPr>
        <w:t xml:space="preserve"> иного межбюджетного трансферта обязательств, предусмотренных соглашением;</w:t>
      </w:r>
    </w:p>
    <w:p w:rsidR="00582CA9" w:rsidRPr="00D61D93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9E8">
        <w:rPr>
          <w:rFonts w:eastAsiaTheme="minorHAnsi"/>
          <w:sz w:val="28"/>
          <w:szCs w:val="28"/>
          <w:lang w:eastAsia="en-US"/>
        </w:rPr>
        <w:t>порядок расторжения соглашения в случае нарушения условий, установленных настоящим Порядком;</w:t>
      </w:r>
    </w:p>
    <w:p w:rsidR="00582CA9" w:rsidRPr="00D61D93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1D93">
        <w:rPr>
          <w:rFonts w:eastAsiaTheme="minorHAnsi"/>
          <w:sz w:val="28"/>
          <w:szCs w:val="28"/>
          <w:lang w:eastAsia="en-US"/>
        </w:rPr>
        <w:t>ответственность сторон за нарушение условий соглашения.</w:t>
      </w:r>
    </w:p>
    <w:p w:rsidR="00582CA9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Оценка эффективности использования иных межбюджетных трансфертов осуществляется на основании показателей результативности использования иных межбюджетных трансфертов.</w:t>
      </w:r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D61D93">
        <w:rPr>
          <w:rFonts w:eastAsiaTheme="minorHAnsi"/>
          <w:sz w:val="28"/>
          <w:szCs w:val="28"/>
          <w:lang w:eastAsia="en-US"/>
        </w:rPr>
        <w:t>оказателем результативности</w:t>
      </w:r>
      <w:r w:rsidR="00DD2DF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использования </w:t>
      </w:r>
      <w:r w:rsidRPr="00D61D93">
        <w:rPr>
          <w:rFonts w:eastAsiaTheme="minorHAnsi"/>
          <w:sz w:val="28"/>
          <w:szCs w:val="28"/>
          <w:lang w:eastAsia="en-US"/>
        </w:rPr>
        <w:t>иных межбюджетных трансфертов является уровень средней заработной платы отдельных категорий работников учреждений бюджетной сферы</w:t>
      </w:r>
      <w:r>
        <w:rPr>
          <w:rFonts w:eastAsiaTheme="minorHAnsi"/>
          <w:sz w:val="28"/>
          <w:szCs w:val="28"/>
          <w:lang w:eastAsia="en-US"/>
        </w:rPr>
        <w:t xml:space="preserve">, достигаемый по данным </w:t>
      </w:r>
      <w:r w:rsidRPr="00C0052D">
        <w:rPr>
          <w:rFonts w:eastAsiaTheme="minorHAnsi"/>
          <w:sz w:val="28"/>
          <w:szCs w:val="28"/>
          <w:lang w:eastAsia="en-US"/>
        </w:rPr>
        <w:t xml:space="preserve">Федеральной службы государственной статистики Российской Федерации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C0052D">
        <w:rPr>
          <w:rFonts w:eastAsiaTheme="minorHAnsi"/>
          <w:sz w:val="28"/>
          <w:szCs w:val="28"/>
          <w:lang w:eastAsia="en-US"/>
        </w:rPr>
        <w:t>i</w:t>
      </w:r>
      <w:r w:rsidRPr="007816A1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м муниципальном образовании за отчетный период</w:t>
      </w:r>
      <w:r w:rsidRPr="00D61D93">
        <w:rPr>
          <w:rFonts w:eastAsiaTheme="minorHAnsi"/>
          <w:sz w:val="28"/>
          <w:szCs w:val="28"/>
          <w:lang w:eastAsia="en-US"/>
        </w:rPr>
        <w:t>.</w:t>
      </w:r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Министерство в 20-дневный срок, исчисляемый в рабочих днях, со дня заключения соглашения </w:t>
      </w:r>
      <w:r w:rsidRPr="00D61D93">
        <w:rPr>
          <w:rFonts w:eastAsiaTheme="minorHAnsi"/>
          <w:sz w:val="28"/>
          <w:szCs w:val="28"/>
          <w:lang w:eastAsia="en-US"/>
        </w:rPr>
        <w:t>перечисля</w:t>
      </w:r>
      <w:r>
        <w:rPr>
          <w:rFonts w:eastAsiaTheme="minorHAnsi"/>
          <w:sz w:val="28"/>
          <w:szCs w:val="28"/>
          <w:lang w:eastAsia="en-US"/>
        </w:rPr>
        <w:t xml:space="preserve">ет иной межбюджетный трансферт на лицевой </w:t>
      </w:r>
      <w:r w:rsidRPr="00D61D93">
        <w:rPr>
          <w:rFonts w:eastAsiaTheme="minorHAnsi"/>
          <w:sz w:val="28"/>
          <w:szCs w:val="28"/>
          <w:lang w:eastAsia="en-US"/>
        </w:rPr>
        <w:t>счет</w:t>
      </w:r>
      <w:r>
        <w:rPr>
          <w:rFonts w:eastAsiaTheme="minorHAnsi"/>
          <w:sz w:val="28"/>
          <w:szCs w:val="28"/>
          <w:lang w:eastAsia="en-US"/>
        </w:rPr>
        <w:t xml:space="preserve">, открытый </w:t>
      </w:r>
      <w:r w:rsidRPr="00D61D93">
        <w:rPr>
          <w:rFonts w:eastAsiaTheme="minorHAnsi"/>
          <w:sz w:val="28"/>
          <w:szCs w:val="28"/>
          <w:lang w:eastAsia="en-US"/>
        </w:rPr>
        <w:t>территориальн</w:t>
      </w:r>
      <w:r>
        <w:rPr>
          <w:rFonts w:eastAsiaTheme="minorHAnsi"/>
          <w:sz w:val="28"/>
          <w:szCs w:val="28"/>
          <w:lang w:eastAsia="en-US"/>
        </w:rPr>
        <w:t xml:space="preserve">ому </w:t>
      </w:r>
      <w:r w:rsidRPr="00D61D93">
        <w:rPr>
          <w:rFonts w:eastAsiaTheme="minorHAnsi"/>
          <w:sz w:val="28"/>
          <w:szCs w:val="28"/>
          <w:lang w:eastAsia="en-US"/>
        </w:rPr>
        <w:t>орган</w:t>
      </w:r>
      <w:r>
        <w:rPr>
          <w:rFonts w:eastAsiaTheme="minorHAnsi"/>
          <w:sz w:val="28"/>
          <w:szCs w:val="28"/>
          <w:lang w:eastAsia="en-US"/>
        </w:rPr>
        <w:t>у</w:t>
      </w:r>
      <w:r w:rsidRPr="00D61D93">
        <w:rPr>
          <w:rFonts w:eastAsiaTheme="minorHAnsi"/>
          <w:sz w:val="28"/>
          <w:szCs w:val="28"/>
          <w:lang w:eastAsia="en-US"/>
        </w:rPr>
        <w:t xml:space="preserve"> Федерального казначейства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61D93">
        <w:rPr>
          <w:rFonts w:eastAsiaTheme="minorHAnsi"/>
          <w:sz w:val="28"/>
          <w:szCs w:val="28"/>
          <w:lang w:eastAsia="en-US"/>
        </w:rPr>
        <w:t>в учреждени</w:t>
      </w:r>
      <w:r>
        <w:rPr>
          <w:rFonts w:eastAsiaTheme="minorHAnsi"/>
          <w:sz w:val="28"/>
          <w:szCs w:val="28"/>
          <w:lang w:eastAsia="en-US"/>
        </w:rPr>
        <w:t xml:space="preserve">ях </w:t>
      </w:r>
      <w:r w:rsidRPr="00D61D93">
        <w:rPr>
          <w:rFonts w:eastAsiaTheme="minorHAnsi"/>
          <w:sz w:val="28"/>
          <w:szCs w:val="28"/>
          <w:lang w:eastAsia="en-US"/>
        </w:rPr>
        <w:t>Центрального банка Российской Федерации для учета операций со средствами бюджет</w:t>
      </w:r>
      <w:r>
        <w:rPr>
          <w:rFonts w:eastAsiaTheme="minorHAnsi"/>
          <w:sz w:val="28"/>
          <w:szCs w:val="28"/>
          <w:lang w:eastAsia="en-US"/>
        </w:rPr>
        <w:t>а</w:t>
      </w:r>
      <w:r w:rsidRPr="00D61D93">
        <w:rPr>
          <w:rFonts w:eastAsiaTheme="minorHAnsi"/>
          <w:sz w:val="28"/>
          <w:szCs w:val="28"/>
          <w:lang w:eastAsia="en-US"/>
        </w:rPr>
        <w:t xml:space="preserve"> муниципальн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образован</w:t>
      </w:r>
      <w:r>
        <w:rPr>
          <w:rFonts w:eastAsiaTheme="minorHAnsi"/>
          <w:sz w:val="28"/>
          <w:szCs w:val="28"/>
          <w:lang w:eastAsia="en-US"/>
        </w:rPr>
        <w:t>ия</w:t>
      </w:r>
      <w:r w:rsidRPr="00D61D93">
        <w:rPr>
          <w:rFonts w:eastAsiaTheme="minorHAnsi"/>
          <w:sz w:val="28"/>
          <w:szCs w:val="28"/>
          <w:lang w:eastAsia="en-US"/>
        </w:rPr>
        <w:t>.</w:t>
      </w:r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61D93">
        <w:rPr>
          <w:rFonts w:eastAsiaTheme="minorHAnsi"/>
          <w:sz w:val="28"/>
          <w:szCs w:val="28"/>
          <w:lang w:eastAsia="en-US"/>
        </w:rPr>
        <w:t>Упо</w:t>
      </w:r>
      <w:r w:rsidRPr="00265E4C">
        <w:rPr>
          <w:rFonts w:eastAsiaTheme="minorHAnsi"/>
          <w:sz w:val="28"/>
          <w:szCs w:val="28"/>
          <w:lang w:eastAsia="en-US"/>
        </w:rPr>
        <w:t>лномоченный</w:t>
      </w:r>
      <w:r w:rsidRPr="00D61D93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 xml:space="preserve"> ежемесячно не позднее 8-го числа месяца следующего за отчетным, </w:t>
      </w:r>
      <w:r w:rsidRPr="00D61D93">
        <w:rPr>
          <w:rFonts w:eastAsiaTheme="minorHAnsi"/>
          <w:sz w:val="28"/>
          <w:szCs w:val="28"/>
          <w:lang w:eastAsia="en-US"/>
        </w:rPr>
        <w:t xml:space="preserve">представляет в Министерство отчет </w:t>
      </w:r>
      <w:r>
        <w:rPr>
          <w:rFonts w:eastAsiaTheme="minorHAnsi"/>
          <w:sz w:val="28"/>
          <w:szCs w:val="28"/>
          <w:lang w:eastAsia="en-US"/>
        </w:rPr>
        <w:t xml:space="preserve">о расходах бюджета муниципального образования, источником финансового обеспечения которых является </w:t>
      </w:r>
      <w:r w:rsidRPr="00D61D93">
        <w:rPr>
          <w:rFonts w:eastAsiaTheme="minorHAnsi"/>
          <w:sz w:val="28"/>
          <w:szCs w:val="28"/>
          <w:lang w:eastAsia="en-US"/>
        </w:rPr>
        <w:t>ин</w:t>
      </w:r>
      <w:r>
        <w:rPr>
          <w:rFonts w:eastAsiaTheme="minorHAnsi"/>
          <w:sz w:val="28"/>
          <w:szCs w:val="28"/>
          <w:lang w:eastAsia="en-US"/>
        </w:rPr>
        <w:t>ой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межбюджетны</w:t>
      </w:r>
      <w:r>
        <w:rPr>
          <w:rFonts w:eastAsiaTheme="minorHAnsi"/>
          <w:sz w:val="28"/>
          <w:szCs w:val="28"/>
          <w:lang w:eastAsia="en-US"/>
        </w:rPr>
        <w:t>й трансферт,</w:t>
      </w:r>
      <w:r w:rsidRPr="00D61D93">
        <w:rPr>
          <w:rFonts w:eastAsiaTheme="minorHAnsi"/>
          <w:sz w:val="28"/>
          <w:szCs w:val="28"/>
          <w:lang w:eastAsia="en-US"/>
        </w:rPr>
        <w:t xml:space="preserve"> и отчет о</w:t>
      </w:r>
      <w:r>
        <w:rPr>
          <w:rFonts w:eastAsiaTheme="minorHAnsi"/>
          <w:sz w:val="28"/>
          <w:szCs w:val="28"/>
          <w:lang w:eastAsia="en-US"/>
        </w:rPr>
        <w:t xml:space="preserve"> достижении</w:t>
      </w:r>
      <w:r w:rsidRPr="00D61D93">
        <w:rPr>
          <w:rFonts w:eastAsiaTheme="minorHAnsi"/>
          <w:sz w:val="28"/>
          <w:szCs w:val="28"/>
          <w:lang w:eastAsia="en-US"/>
        </w:rPr>
        <w:t xml:space="preserve"> показателя результативности использования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D61D93">
        <w:rPr>
          <w:rFonts w:eastAsiaTheme="minorHAnsi"/>
          <w:sz w:val="28"/>
          <w:szCs w:val="28"/>
          <w:lang w:eastAsia="en-US"/>
        </w:rPr>
        <w:t xml:space="preserve"> согласно форме и порядку, предусмотренным соглашением.</w:t>
      </w:r>
      <w:proofErr w:type="gramEnd"/>
    </w:p>
    <w:p w:rsidR="00582CA9" w:rsidRPr="002757F6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61D93">
        <w:rPr>
          <w:rFonts w:eastAsiaTheme="minorHAnsi"/>
          <w:sz w:val="28"/>
          <w:szCs w:val="28"/>
          <w:lang w:eastAsia="en-US"/>
        </w:rPr>
        <w:t>В случае если муниципальным образованием по состоянию на 31 декабря года предоставления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D61D9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 достигнуто значение показателя</w:t>
      </w:r>
      <w:r w:rsidR="00590387">
        <w:rPr>
          <w:rFonts w:eastAsiaTheme="minorHAnsi"/>
          <w:sz w:val="28"/>
          <w:szCs w:val="28"/>
          <w:lang w:eastAsia="en-US"/>
        </w:rPr>
        <w:t xml:space="preserve"> </w:t>
      </w:r>
      <w:r w:rsidR="00590387" w:rsidRPr="00D61D93">
        <w:rPr>
          <w:rFonts w:eastAsiaTheme="minorHAnsi"/>
          <w:sz w:val="28"/>
          <w:szCs w:val="28"/>
          <w:lang w:eastAsia="en-US"/>
        </w:rPr>
        <w:t>результативности</w:t>
      </w:r>
      <w:r w:rsidR="00590387">
        <w:rPr>
          <w:rFonts w:eastAsiaTheme="minorHAnsi"/>
          <w:sz w:val="28"/>
          <w:szCs w:val="28"/>
          <w:lang w:eastAsia="en-US"/>
        </w:rPr>
        <w:t xml:space="preserve"> использования </w:t>
      </w:r>
      <w:r w:rsidR="00590387" w:rsidRPr="00D61D93">
        <w:rPr>
          <w:rFonts w:eastAsiaTheme="minorHAnsi"/>
          <w:sz w:val="28"/>
          <w:szCs w:val="28"/>
          <w:lang w:eastAsia="en-US"/>
        </w:rPr>
        <w:t>иных межбюджетных трансфертов</w:t>
      </w:r>
      <w:r>
        <w:rPr>
          <w:rFonts w:eastAsiaTheme="minorHAnsi"/>
          <w:sz w:val="28"/>
          <w:szCs w:val="28"/>
          <w:lang w:eastAsia="en-US"/>
        </w:rPr>
        <w:t>, предусмотренно</w:t>
      </w:r>
      <w:r w:rsidR="00590387">
        <w:rPr>
          <w:rFonts w:eastAsiaTheme="minorHAnsi"/>
          <w:sz w:val="28"/>
          <w:szCs w:val="28"/>
          <w:lang w:eastAsia="en-US"/>
        </w:rPr>
        <w:t xml:space="preserve">е соглашением, </w:t>
      </w:r>
      <w:r>
        <w:rPr>
          <w:rFonts w:eastAsiaTheme="minorHAnsi"/>
          <w:sz w:val="28"/>
          <w:szCs w:val="28"/>
          <w:lang w:eastAsia="en-US"/>
        </w:rPr>
        <w:t xml:space="preserve">размер средств, подлежащих возврату </w:t>
      </w:r>
      <w:r w:rsidRPr="00D61D93">
        <w:rPr>
          <w:rFonts w:eastAsiaTheme="minorHAnsi"/>
          <w:sz w:val="28"/>
          <w:szCs w:val="28"/>
          <w:lang w:eastAsia="en-US"/>
        </w:rPr>
        <w:t>из бюджета муниципального образования в бюджет Республики Татарстан в срок до 1 марта года, следующего за годом предоставления иных межбюджетных трансфертов</w:t>
      </w:r>
      <w:r>
        <w:rPr>
          <w:rFonts w:eastAsiaTheme="minorHAnsi"/>
          <w:sz w:val="28"/>
          <w:szCs w:val="28"/>
          <w:lang w:eastAsia="en-US"/>
        </w:rPr>
        <w:t xml:space="preserve"> (</w:t>
      </w:r>
      <m:oMath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возврата</m:t>
            </m:r>
          </m:sub>
        </m:sSub>
      </m:oMath>
      <w:r>
        <w:rPr>
          <w:rFonts w:eastAsiaTheme="minorEastAsia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определяется </w:t>
      </w:r>
      <w:r w:rsidRPr="00D61D93">
        <w:rPr>
          <w:rFonts w:eastAsiaTheme="minorHAnsi"/>
          <w:sz w:val="28"/>
          <w:szCs w:val="28"/>
          <w:lang w:eastAsia="en-US"/>
        </w:rPr>
        <w:t>по формуле:</w:t>
      </w:r>
      <w:proofErr w:type="gramEnd"/>
    </w:p>
    <w:p w:rsidR="00582CA9" w:rsidRDefault="00582CA9" w:rsidP="00582CA9">
      <w:pPr>
        <w:pStyle w:val="ad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582CA9" w:rsidRPr="009E2086" w:rsidRDefault="00B048D2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V</m:t>
              </m:r>
            </m:e>
            <m: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возврата</m:t>
              </m:r>
            </m:sub>
          </m:sSub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=</m:t>
          </m:r>
          <m:r>
            <w:rPr>
              <w:rFonts w:ascii="Cambria Math" w:eastAsiaTheme="minorHAnsi" w:hAnsi="Cambria Math"/>
              <w:sz w:val="28"/>
              <w:szCs w:val="28"/>
              <w:lang w:val="en-US" w:eastAsia="en-US"/>
            </w:rPr>
            <m:t>P*D</m:t>
          </m:r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*0,1 ,</m:t>
          </m:r>
        </m:oMath>
      </m:oMathPara>
    </w:p>
    <w:p w:rsidR="00582CA9" w:rsidRPr="00D61D93" w:rsidRDefault="00582CA9" w:rsidP="00582CA9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82CA9" w:rsidRPr="00D61D93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1D93">
        <w:rPr>
          <w:rFonts w:eastAsiaTheme="minorHAnsi"/>
          <w:sz w:val="28"/>
          <w:szCs w:val="28"/>
          <w:lang w:eastAsia="en-US"/>
        </w:rPr>
        <w:t>где:</w:t>
      </w:r>
    </w:p>
    <w:p w:rsidR="00582CA9" w:rsidRPr="00D61D93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P</m:t>
        </m:r>
      </m:oMath>
      <w:r w:rsidRPr="009E2086">
        <w:rPr>
          <w:rFonts w:eastAsiaTheme="minorHAnsi"/>
          <w:sz w:val="28"/>
          <w:szCs w:val="28"/>
          <w:lang w:eastAsia="en-US"/>
        </w:rPr>
        <w:t xml:space="preserve"> </w:t>
      </w:r>
      <w:r w:rsidRPr="00D61D93">
        <w:rPr>
          <w:rFonts w:eastAsiaTheme="minorHAnsi"/>
          <w:sz w:val="28"/>
          <w:szCs w:val="28"/>
          <w:lang w:eastAsia="en-US"/>
        </w:rPr>
        <w:t>- размер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D61D93">
        <w:rPr>
          <w:rFonts w:eastAsiaTheme="minorHAnsi"/>
          <w:sz w:val="28"/>
          <w:szCs w:val="28"/>
          <w:lang w:eastAsia="en-US"/>
        </w:rPr>
        <w:t>, предоставленн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бюджету муниципального образования в отчетном финансовом году;</w:t>
      </w:r>
    </w:p>
    <w:p w:rsidR="00582CA9" w:rsidRPr="00D61D93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D</m:t>
        </m:r>
      </m:oMath>
      <w:r w:rsidRPr="00D61D93">
        <w:rPr>
          <w:rFonts w:eastAsiaTheme="minorHAnsi"/>
          <w:sz w:val="28"/>
          <w:szCs w:val="28"/>
          <w:lang w:eastAsia="en-US"/>
        </w:rPr>
        <w:t xml:space="preserve"> - коэффициент возврата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D61D93">
        <w:rPr>
          <w:rFonts w:eastAsiaTheme="minorHAnsi"/>
          <w:sz w:val="28"/>
          <w:szCs w:val="28"/>
          <w:lang w:eastAsia="en-US"/>
        </w:rPr>
        <w:t>.</w:t>
      </w:r>
    </w:p>
    <w:p w:rsidR="00582CA9" w:rsidRPr="002757F6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61D93">
        <w:rPr>
          <w:rFonts w:eastAsiaTheme="minorHAnsi"/>
          <w:sz w:val="28"/>
          <w:szCs w:val="28"/>
          <w:lang w:eastAsia="en-US"/>
        </w:rPr>
        <w:t>При расчете объема средств, подлежащих возврату из бюджета муниципального образования в бюджет Республики Татарстан, в размере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D61D93">
        <w:rPr>
          <w:rFonts w:eastAsiaTheme="minorHAnsi"/>
          <w:sz w:val="28"/>
          <w:szCs w:val="28"/>
          <w:lang w:eastAsia="en-US"/>
        </w:rPr>
        <w:t>, предоставленн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бюджету муниципального </w:t>
      </w:r>
      <w:r w:rsidRPr="00C0052D">
        <w:rPr>
          <w:rFonts w:eastAsiaTheme="minorHAnsi"/>
          <w:sz w:val="28"/>
          <w:szCs w:val="28"/>
          <w:lang w:eastAsia="en-US"/>
        </w:rPr>
        <w:t xml:space="preserve">образования в отчетном финансовом году, не учитывается размер остатка </w:t>
      </w:r>
      <w:r>
        <w:rPr>
          <w:rFonts w:eastAsiaTheme="minorHAnsi"/>
          <w:sz w:val="28"/>
          <w:szCs w:val="28"/>
          <w:lang w:eastAsia="en-US"/>
        </w:rPr>
        <w:t>иного</w:t>
      </w:r>
      <w:r w:rsidRPr="00C0052D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C0052D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C0052D">
        <w:rPr>
          <w:rFonts w:eastAsiaTheme="minorHAnsi"/>
          <w:sz w:val="28"/>
          <w:szCs w:val="28"/>
          <w:lang w:eastAsia="en-US"/>
        </w:rPr>
        <w:t>, не использованн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по состоянию на 1 января</w:t>
      </w:r>
      <w:r>
        <w:rPr>
          <w:rFonts w:eastAsiaTheme="minorHAnsi"/>
          <w:sz w:val="28"/>
          <w:szCs w:val="28"/>
          <w:lang w:eastAsia="en-US"/>
        </w:rPr>
        <w:t xml:space="preserve"> года, следующего за </w:t>
      </w:r>
      <w:r>
        <w:rPr>
          <w:rFonts w:eastAsiaTheme="minorHAnsi"/>
          <w:sz w:val="28"/>
          <w:szCs w:val="28"/>
          <w:lang w:val="tt-RU" w:eastAsia="en-US"/>
        </w:rPr>
        <w:t>годом предоставления иных межбюджетных трансфертов.</w:t>
      </w:r>
    </w:p>
    <w:p w:rsidR="00582CA9" w:rsidRPr="0046426A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61D93">
        <w:rPr>
          <w:rFonts w:eastAsiaTheme="minorHAnsi"/>
          <w:sz w:val="28"/>
          <w:szCs w:val="28"/>
          <w:lang w:eastAsia="en-US"/>
        </w:rPr>
        <w:t>Коэффициент возврата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E6796C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val="en-US" w:eastAsia="en-US"/>
        </w:rPr>
        <w:t>D</w:t>
      </w:r>
      <w:r w:rsidRPr="00E6796C">
        <w:rPr>
          <w:rFonts w:eastAsiaTheme="minorHAnsi"/>
          <w:sz w:val="28"/>
          <w:szCs w:val="28"/>
          <w:lang w:eastAsia="en-US"/>
        </w:rPr>
        <w:t>)</w:t>
      </w:r>
      <w:r w:rsidRPr="00D61D93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582CA9" w:rsidRPr="00C8741D" w:rsidRDefault="00582CA9" w:rsidP="00582CA9">
      <w:pPr>
        <w:pStyle w:val="ad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582CA9" w:rsidRPr="00D61D93" w:rsidRDefault="00582CA9" w:rsidP="00582CA9">
      <w:pPr>
        <w:pStyle w:val="ad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D=1-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T</m:t>
              </m:r>
            </m:num>
            <m:den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S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,</m:t>
          </m:r>
        </m:oMath>
      </m:oMathPara>
    </w:p>
    <w:p w:rsidR="00582CA9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</w:p>
    <w:p w:rsidR="00582CA9" w:rsidRPr="00D61D93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1D93">
        <w:rPr>
          <w:rFonts w:eastAsiaTheme="minorHAnsi"/>
          <w:sz w:val="28"/>
          <w:szCs w:val="28"/>
          <w:lang w:eastAsia="en-US"/>
        </w:rPr>
        <w:t>где:</w:t>
      </w:r>
    </w:p>
    <w:p w:rsidR="00582CA9" w:rsidRPr="00D61D93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T</m:t>
        </m:r>
      </m:oMath>
      <w:r w:rsidRPr="00D61D93">
        <w:rPr>
          <w:rFonts w:eastAsiaTheme="minorHAnsi"/>
          <w:sz w:val="28"/>
          <w:szCs w:val="28"/>
          <w:lang w:eastAsia="en-US"/>
        </w:rPr>
        <w:t xml:space="preserve"> - фактически достигнутое</w:t>
      </w:r>
      <w:r>
        <w:rPr>
          <w:rFonts w:eastAsiaTheme="minorHAnsi"/>
          <w:sz w:val="28"/>
          <w:szCs w:val="28"/>
          <w:lang w:eastAsia="en-US"/>
        </w:rPr>
        <w:t xml:space="preserve"> на конец года </w:t>
      </w:r>
      <w:r w:rsidRPr="00D61D93">
        <w:rPr>
          <w:rFonts w:eastAsiaTheme="minorHAnsi"/>
          <w:sz w:val="28"/>
          <w:szCs w:val="28"/>
          <w:lang w:eastAsia="en-US"/>
        </w:rPr>
        <w:t>значение показателя результативности использования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D61D93">
        <w:rPr>
          <w:rFonts w:eastAsiaTheme="minorHAnsi"/>
          <w:sz w:val="28"/>
          <w:szCs w:val="28"/>
          <w:lang w:eastAsia="en-US"/>
        </w:rPr>
        <w:t>;</w:t>
      </w:r>
    </w:p>
    <w:p w:rsidR="00582CA9" w:rsidRPr="00D61D93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S</m:t>
        </m:r>
      </m:oMath>
      <w:r w:rsidRPr="00D61D93">
        <w:rPr>
          <w:rFonts w:eastAsiaTheme="minorHAnsi"/>
          <w:sz w:val="28"/>
          <w:szCs w:val="28"/>
          <w:lang w:eastAsia="en-US"/>
        </w:rPr>
        <w:t xml:space="preserve"> - плановое значе</w:t>
      </w:r>
      <w:r>
        <w:rPr>
          <w:rFonts w:eastAsiaTheme="minorHAnsi"/>
          <w:sz w:val="28"/>
          <w:szCs w:val="28"/>
          <w:lang w:eastAsia="en-US"/>
        </w:rPr>
        <w:t xml:space="preserve">ние показателя результативности </w:t>
      </w:r>
      <w:r w:rsidRPr="00D61D93">
        <w:rPr>
          <w:rFonts w:eastAsiaTheme="minorHAnsi"/>
          <w:sz w:val="28"/>
          <w:szCs w:val="28"/>
          <w:lang w:eastAsia="en-US"/>
        </w:rPr>
        <w:t>использования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D61D93">
        <w:rPr>
          <w:rFonts w:eastAsiaTheme="minorHAnsi"/>
          <w:sz w:val="28"/>
          <w:szCs w:val="28"/>
          <w:lang w:eastAsia="en-US"/>
        </w:rPr>
        <w:t>, установленное соглашением.</w:t>
      </w:r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нецелевого использования и (или) нарушения муниципальным образованием условий предоставления иного межбюджетного трансферта, в том числе невозврата муниципальным образованием сре</w:t>
      </w:r>
      <w:proofErr w:type="gramStart"/>
      <w:r>
        <w:rPr>
          <w:rFonts w:eastAsiaTheme="minorHAnsi"/>
          <w:sz w:val="28"/>
          <w:szCs w:val="28"/>
          <w:lang w:eastAsia="en-US"/>
        </w:rPr>
        <w:t>дств в 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юджет Республики Татарстан настоящего порядка, к нему применяются меры принуждения, </w:t>
      </w:r>
      <w:r w:rsidRPr="00D61D93">
        <w:rPr>
          <w:rFonts w:eastAsiaTheme="minorHAnsi"/>
          <w:sz w:val="28"/>
          <w:szCs w:val="28"/>
          <w:lang w:eastAsia="en-US"/>
        </w:rPr>
        <w:t>предусмотренные бюджетным законодательством Российской Федерации.</w:t>
      </w:r>
    </w:p>
    <w:p w:rsidR="00582CA9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61D93">
        <w:rPr>
          <w:rFonts w:eastAsiaTheme="minorHAnsi"/>
          <w:sz w:val="28"/>
          <w:szCs w:val="28"/>
          <w:lang w:eastAsia="en-US"/>
        </w:rPr>
        <w:t xml:space="preserve">Не использованные по состоянию на 1 января </w:t>
      </w:r>
      <w:r>
        <w:rPr>
          <w:rFonts w:eastAsiaTheme="minorHAnsi"/>
          <w:sz w:val="28"/>
          <w:szCs w:val="28"/>
          <w:lang w:eastAsia="en-US"/>
        </w:rPr>
        <w:t xml:space="preserve">текущего </w:t>
      </w:r>
      <w:r w:rsidRPr="00D61D93">
        <w:rPr>
          <w:rFonts w:eastAsiaTheme="minorHAnsi"/>
          <w:sz w:val="28"/>
          <w:szCs w:val="28"/>
          <w:lang w:eastAsia="en-US"/>
        </w:rPr>
        <w:t xml:space="preserve">финансового года, следующего за </w:t>
      </w:r>
      <w:proofErr w:type="gramStart"/>
      <w:r>
        <w:rPr>
          <w:rFonts w:eastAsiaTheme="minorHAnsi"/>
          <w:sz w:val="28"/>
          <w:szCs w:val="28"/>
          <w:lang w:eastAsia="en-US"/>
        </w:rPr>
        <w:t>отчетным</w:t>
      </w:r>
      <w:proofErr w:type="gramEnd"/>
      <w:r w:rsidRPr="00D61D93">
        <w:rPr>
          <w:rFonts w:eastAsiaTheme="minorHAnsi"/>
          <w:sz w:val="28"/>
          <w:szCs w:val="28"/>
          <w:lang w:eastAsia="en-US"/>
        </w:rPr>
        <w:t>, иные межбюджетные трансферты подлежат возврату в доход бюджета Республики Татарстан в течение первых 15 рабочих дней текущ</w:t>
      </w:r>
      <w:r>
        <w:rPr>
          <w:rFonts w:eastAsiaTheme="minorHAnsi"/>
          <w:sz w:val="28"/>
          <w:szCs w:val="28"/>
          <w:lang w:eastAsia="en-US"/>
        </w:rPr>
        <w:t xml:space="preserve">его </w:t>
      </w:r>
      <w:r w:rsidRPr="00D61D93">
        <w:rPr>
          <w:rFonts w:eastAsiaTheme="minorHAnsi"/>
          <w:sz w:val="28"/>
          <w:szCs w:val="28"/>
          <w:lang w:eastAsia="en-US"/>
        </w:rPr>
        <w:t>финансового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82CA9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6F6D">
        <w:rPr>
          <w:rFonts w:eastAsiaTheme="minorHAnsi"/>
          <w:sz w:val="28"/>
          <w:szCs w:val="28"/>
          <w:lang w:eastAsia="en-US"/>
        </w:rPr>
        <w:t xml:space="preserve"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Министерством, с соблюдением общих требований, </w:t>
      </w:r>
      <w:r w:rsidR="00B048D2" w:rsidRPr="00EA6F6D">
        <w:rPr>
          <w:rFonts w:eastAsiaTheme="minorHAnsi"/>
          <w:sz w:val="28"/>
          <w:szCs w:val="28"/>
          <w:lang w:eastAsia="en-US"/>
        </w:rPr>
        <w:t>установленных Министерством финансов Российской Федерации</w:t>
      </w:r>
      <w:bookmarkStart w:id="4" w:name="_GoBack"/>
      <w:bookmarkEnd w:id="4"/>
      <w:r w:rsidRPr="00EA6F6D">
        <w:rPr>
          <w:rFonts w:eastAsiaTheme="minorHAnsi"/>
          <w:sz w:val="28"/>
          <w:szCs w:val="28"/>
          <w:lang w:eastAsia="en-US"/>
        </w:rPr>
        <w:t>.</w:t>
      </w:r>
    </w:p>
    <w:p w:rsidR="00582CA9" w:rsidRDefault="00582CA9" w:rsidP="00582CA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средств указанных иных межбюджетных трансфертов, могут быть возвращены в текущем финансовом году в </w:t>
      </w:r>
      <w:r>
        <w:rPr>
          <w:rFonts w:eastAsiaTheme="minorHAnsi"/>
          <w:sz w:val="28"/>
          <w:szCs w:val="28"/>
          <w:lang w:eastAsia="en-US"/>
        </w:rPr>
        <w:lastRenderedPageBreak/>
        <w:t>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  <w:proofErr w:type="gramEnd"/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Уполномоченный орган несет </w:t>
      </w:r>
      <w:r w:rsidRPr="00D61D93">
        <w:rPr>
          <w:rFonts w:eastAsiaTheme="minorHAnsi"/>
          <w:sz w:val="28"/>
          <w:szCs w:val="28"/>
          <w:lang w:eastAsia="en-US"/>
        </w:rPr>
        <w:t>ответственность согласно законодательству за недостоверность представляемых отчетных сведений и нецелевое использование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61D93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D61D93">
        <w:rPr>
          <w:rFonts w:eastAsiaTheme="minorHAnsi"/>
          <w:sz w:val="28"/>
          <w:szCs w:val="28"/>
          <w:lang w:eastAsia="en-US"/>
        </w:rPr>
        <w:t>.</w:t>
      </w:r>
    </w:p>
    <w:p w:rsidR="00582CA9" w:rsidRPr="00D61D93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61D93">
        <w:rPr>
          <w:rFonts w:eastAsiaTheme="minorHAnsi"/>
          <w:sz w:val="28"/>
          <w:szCs w:val="28"/>
          <w:lang w:eastAsia="en-US"/>
        </w:rPr>
        <w:t>Министерство осуществляет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582CA9" w:rsidRDefault="00582CA9" w:rsidP="00582CA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542D0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D542D0">
        <w:rPr>
          <w:rFonts w:eastAsiaTheme="minorHAnsi"/>
          <w:sz w:val="28"/>
          <w:szCs w:val="28"/>
          <w:lang w:eastAsia="en-US"/>
        </w:rPr>
        <w:t xml:space="preserve"> целевым использованием иных межбюджетных трансфертов осуществляется Министерством.</w:t>
      </w:r>
    </w:p>
    <w:p w:rsidR="001C43B7" w:rsidRDefault="001C43B7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942DDC">
      <w:pPr>
        <w:spacing w:line="276" w:lineRule="auto"/>
        <w:jc w:val="center"/>
        <w:rPr>
          <w:b/>
          <w:sz w:val="28"/>
          <w:szCs w:val="28"/>
        </w:rPr>
      </w:pPr>
      <w:r w:rsidRPr="00A07F02">
        <w:rPr>
          <w:b/>
          <w:sz w:val="28"/>
          <w:szCs w:val="28"/>
        </w:rPr>
        <w:t>ПОЯСНИТЕЛЬНАЯ ЗАПИСКА</w:t>
      </w:r>
    </w:p>
    <w:p w:rsidR="00942DDC" w:rsidRDefault="00942DDC" w:rsidP="00942DDC">
      <w:pPr>
        <w:spacing w:line="276" w:lineRule="auto"/>
        <w:jc w:val="center"/>
        <w:rPr>
          <w:b/>
          <w:sz w:val="28"/>
          <w:szCs w:val="28"/>
        </w:rPr>
      </w:pPr>
    </w:p>
    <w:p w:rsidR="00942DDC" w:rsidRDefault="00925DFD" w:rsidP="00925DFD">
      <w:pPr>
        <w:tabs>
          <w:tab w:val="left" w:pos="9923"/>
        </w:tabs>
        <w:spacing w:line="276" w:lineRule="auto"/>
        <w:ind w:left="709" w:right="566"/>
        <w:jc w:val="center"/>
        <w:rPr>
          <w:b/>
          <w:sz w:val="28"/>
          <w:szCs w:val="28"/>
        </w:rPr>
      </w:pPr>
      <w:r w:rsidRPr="00925DFD">
        <w:rPr>
          <w:b/>
          <w:sz w:val="28"/>
          <w:szCs w:val="28"/>
        </w:rPr>
        <w:lastRenderedPageBreak/>
        <w:t>к проекту постановления Кабинета Министров Республики Татарстан</w:t>
      </w:r>
      <w:r w:rsidR="00942DDC">
        <w:rPr>
          <w:b/>
          <w:sz w:val="28"/>
          <w:szCs w:val="28"/>
        </w:rPr>
        <w:t xml:space="preserve"> </w:t>
      </w:r>
      <w:r w:rsidR="00942DDC" w:rsidRPr="00E91327">
        <w:rPr>
          <w:b/>
          <w:sz w:val="28"/>
          <w:szCs w:val="28"/>
        </w:rPr>
        <w:t>«</w:t>
      </w:r>
      <w:r w:rsidR="00942DDC" w:rsidRPr="00902EC2">
        <w:rPr>
          <w:b/>
          <w:sz w:val="28"/>
          <w:szCs w:val="28"/>
        </w:rPr>
        <w:t xml:space="preserve">Об </w:t>
      </w:r>
      <w:r w:rsidR="00942DDC">
        <w:rPr>
          <w:b/>
          <w:sz w:val="28"/>
          <w:szCs w:val="28"/>
        </w:rPr>
        <w:t>утверждении порядка предоставления из бюджета Республики Татарстан иных межбюджетных трансфертов бюджетам муниципальных районов и городских округов»</w:t>
      </w:r>
    </w:p>
    <w:p w:rsidR="00942DDC" w:rsidRDefault="00942DDC" w:rsidP="00925DFD">
      <w:pPr>
        <w:tabs>
          <w:tab w:val="left" w:pos="9923"/>
        </w:tabs>
        <w:spacing w:line="276" w:lineRule="auto"/>
        <w:ind w:left="709" w:right="566"/>
        <w:jc w:val="both"/>
        <w:rPr>
          <w:b/>
          <w:sz w:val="28"/>
          <w:szCs w:val="28"/>
        </w:rPr>
      </w:pPr>
    </w:p>
    <w:p w:rsidR="00925DFD" w:rsidRDefault="00925DFD" w:rsidP="00942DDC">
      <w:pPr>
        <w:ind w:firstLine="720"/>
        <w:jc w:val="both"/>
        <w:rPr>
          <w:sz w:val="28"/>
          <w:szCs w:val="28"/>
        </w:rPr>
      </w:pPr>
    </w:p>
    <w:p w:rsidR="00925DFD" w:rsidRDefault="00925DFD" w:rsidP="00942DDC">
      <w:pPr>
        <w:ind w:firstLine="720"/>
        <w:jc w:val="both"/>
        <w:rPr>
          <w:sz w:val="28"/>
          <w:szCs w:val="28"/>
        </w:rPr>
      </w:pPr>
    </w:p>
    <w:p w:rsidR="00925DFD" w:rsidRDefault="00925DFD" w:rsidP="00925DF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5DFD">
        <w:rPr>
          <w:sz w:val="28"/>
          <w:szCs w:val="28"/>
        </w:rPr>
        <w:t>Проект постановления Кабинета Министров Республики Татарстан «Об утверждении порядка предоставления из бюджета Республики Татарстан иных межбюджетных трансфертов бюджетам муниципальных районов и городских округов»</w:t>
      </w:r>
      <w:r>
        <w:rPr>
          <w:sz w:val="28"/>
          <w:szCs w:val="28"/>
        </w:rPr>
        <w:t xml:space="preserve"> (далее – проект)</w:t>
      </w:r>
      <w:r w:rsidRPr="00925DFD">
        <w:rPr>
          <w:sz w:val="28"/>
          <w:szCs w:val="28"/>
        </w:rPr>
        <w:t xml:space="preserve"> разработан Министерством финансов Республики Татарстан в целях финансового обеспечения расходов муниципальных образований, связанных с обеспечением уровня заработной платы отдельных категорий работников бюджетной сферы, установленного Федеральным законом от 19 июня 2000 года № 82-ФЗ «О минимальном размере</w:t>
      </w:r>
      <w:proofErr w:type="gramEnd"/>
      <w:r w:rsidRPr="00925DFD">
        <w:rPr>
          <w:sz w:val="28"/>
          <w:szCs w:val="28"/>
        </w:rPr>
        <w:t xml:space="preserve"> оплаты труда», Указами Президента Российской Федерации от 7 мая 2012 года № 597 «О мероприятиях по реализации государственной социальной политики», от 1 июня 2012 года </w:t>
      </w:r>
      <w:hyperlink r:id="rId14" w:history="1">
        <w:r w:rsidRPr="00925DFD">
          <w:rPr>
            <w:sz w:val="28"/>
            <w:szCs w:val="28"/>
          </w:rPr>
          <w:t>№ 761</w:t>
        </w:r>
      </w:hyperlink>
      <w:r w:rsidRPr="00925DFD">
        <w:rPr>
          <w:sz w:val="28"/>
          <w:szCs w:val="28"/>
        </w:rPr>
        <w:t xml:space="preserve"> «О Национальной стратегии действий в интересах детей на 2012 - 2017 годы».</w:t>
      </w:r>
    </w:p>
    <w:p w:rsidR="00E76520" w:rsidRDefault="00925DFD" w:rsidP="00E76520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76520">
        <w:rPr>
          <w:sz w:val="28"/>
          <w:szCs w:val="28"/>
        </w:rPr>
        <w:t xml:space="preserve">Президентом Республики Татарстан </w:t>
      </w:r>
      <w:proofErr w:type="spellStart"/>
      <w:r w:rsidRPr="00E76520">
        <w:rPr>
          <w:sz w:val="28"/>
          <w:szCs w:val="28"/>
        </w:rPr>
        <w:t>Р.Н.Минниханова</w:t>
      </w:r>
      <w:proofErr w:type="spellEnd"/>
      <w:r w:rsidRPr="00E76520">
        <w:rPr>
          <w:sz w:val="28"/>
          <w:szCs w:val="28"/>
        </w:rPr>
        <w:t xml:space="preserve"> от</w:t>
      </w:r>
      <w:r w:rsidR="00E76520">
        <w:rPr>
          <w:sz w:val="28"/>
          <w:szCs w:val="28"/>
        </w:rPr>
        <w:t xml:space="preserve"> 26.05.2020               № 24943-МР </w:t>
      </w:r>
      <w:r w:rsidRPr="00E76520">
        <w:rPr>
          <w:sz w:val="28"/>
          <w:szCs w:val="28"/>
        </w:rPr>
        <w:t xml:space="preserve">согласован вопрос </w:t>
      </w:r>
      <w:r w:rsidR="00E76520" w:rsidRPr="00925DFD">
        <w:rPr>
          <w:sz w:val="28"/>
          <w:szCs w:val="28"/>
        </w:rPr>
        <w:t>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</w:t>
      </w:r>
      <w:r w:rsidR="00E76520">
        <w:rPr>
          <w:sz w:val="28"/>
          <w:szCs w:val="28"/>
        </w:rPr>
        <w:t xml:space="preserve"> </w:t>
      </w:r>
      <w:r w:rsidR="00E76520" w:rsidRPr="00925DFD">
        <w:rPr>
          <w:sz w:val="28"/>
          <w:szCs w:val="28"/>
        </w:rPr>
        <w:t>в целях финансового обеспечения расходов муниципальных образований, связанных с обеспечением уровня заработной платы отдельных категорий работников бюджетной сферы, установленного Федеральным законом от 19 июня 2000 года № 82-ФЗ «О минимальном размере оплаты труда», Указами</w:t>
      </w:r>
      <w:proofErr w:type="gramEnd"/>
      <w:r w:rsidR="00E76520" w:rsidRPr="00925DFD">
        <w:rPr>
          <w:sz w:val="28"/>
          <w:szCs w:val="28"/>
        </w:rPr>
        <w:t xml:space="preserve"> Президента Российской Федерации от 7 мая 2012 года № 597 «О мероприятиях по реализации государственной социальной политики», от 1 июня 2012 года </w:t>
      </w:r>
      <w:hyperlink r:id="rId15" w:history="1">
        <w:r w:rsidR="00E76520" w:rsidRPr="00925DFD">
          <w:rPr>
            <w:sz w:val="28"/>
            <w:szCs w:val="28"/>
          </w:rPr>
          <w:t>№ 761</w:t>
        </w:r>
      </w:hyperlink>
      <w:r w:rsidR="00E76520" w:rsidRPr="00925DFD">
        <w:rPr>
          <w:sz w:val="28"/>
          <w:szCs w:val="28"/>
        </w:rPr>
        <w:t xml:space="preserve"> «О Национальной стратегии действий в интересах детей на 2012 - 2017 годы».</w:t>
      </w:r>
    </w:p>
    <w:p w:rsidR="00E76520" w:rsidRDefault="00AC4141" w:rsidP="00E76520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постановления не потребует признания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иных нормативных правовых актов.</w:t>
      </w:r>
    </w:p>
    <w:sectPr w:rsidR="00E76520" w:rsidSect="00992C38">
      <w:pgSz w:w="11906" w:h="16838" w:code="9"/>
      <w:pgMar w:top="964" w:right="567" w:bottom="96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E6" w:rsidRDefault="000033E6">
      <w:r>
        <w:separator/>
      </w:r>
    </w:p>
  </w:endnote>
  <w:endnote w:type="continuationSeparator" w:id="0">
    <w:p w:rsidR="000033E6" w:rsidRDefault="0000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E6" w:rsidRDefault="000033E6">
      <w:r>
        <w:separator/>
      </w:r>
    </w:p>
  </w:footnote>
  <w:footnote w:type="continuationSeparator" w:id="0">
    <w:p w:rsidR="000033E6" w:rsidRDefault="0000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4EF3"/>
    <w:multiLevelType w:val="hybridMultilevel"/>
    <w:tmpl w:val="F920C9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615758"/>
    <w:multiLevelType w:val="hybridMultilevel"/>
    <w:tmpl w:val="E752F846"/>
    <w:lvl w:ilvl="0" w:tplc="47169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95887"/>
    <w:multiLevelType w:val="hybridMultilevel"/>
    <w:tmpl w:val="1DE8D856"/>
    <w:lvl w:ilvl="0" w:tplc="36F01632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E01497"/>
    <w:multiLevelType w:val="hybridMultilevel"/>
    <w:tmpl w:val="0E0682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423AD4"/>
    <w:multiLevelType w:val="hybridMultilevel"/>
    <w:tmpl w:val="F920C9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8C30CA7"/>
    <w:multiLevelType w:val="hybridMultilevel"/>
    <w:tmpl w:val="31526D96"/>
    <w:lvl w:ilvl="0" w:tplc="9BB04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7479BF"/>
    <w:multiLevelType w:val="hybridMultilevel"/>
    <w:tmpl w:val="8E5CC9CA"/>
    <w:lvl w:ilvl="0" w:tplc="0720A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D25F15"/>
    <w:multiLevelType w:val="hybridMultilevel"/>
    <w:tmpl w:val="D562A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7520D"/>
    <w:multiLevelType w:val="hybridMultilevel"/>
    <w:tmpl w:val="8AF0963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5F"/>
    <w:rsid w:val="000033E6"/>
    <w:rsid w:val="0000468E"/>
    <w:rsid w:val="00006A09"/>
    <w:rsid w:val="000108C2"/>
    <w:rsid w:val="00012BA0"/>
    <w:rsid w:val="000141BB"/>
    <w:rsid w:val="0002262A"/>
    <w:rsid w:val="00026B6C"/>
    <w:rsid w:val="00030359"/>
    <w:rsid w:val="000349B6"/>
    <w:rsid w:val="00044409"/>
    <w:rsid w:val="00051CD7"/>
    <w:rsid w:val="000554B5"/>
    <w:rsid w:val="00057354"/>
    <w:rsid w:val="00072B99"/>
    <w:rsid w:val="00074E08"/>
    <w:rsid w:val="00075D21"/>
    <w:rsid w:val="00080B4D"/>
    <w:rsid w:val="00093669"/>
    <w:rsid w:val="000940FA"/>
    <w:rsid w:val="00094464"/>
    <w:rsid w:val="00094A3B"/>
    <w:rsid w:val="00095D4B"/>
    <w:rsid w:val="000A0D30"/>
    <w:rsid w:val="000A77A2"/>
    <w:rsid w:val="000B1577"/>
    <w:rsid w:val="000B1B3F"/>
    <w:rsid w:val="000B3D6E"/>
    <w:rsid w:val="000D4EAA"/>
    <w:rsid w:val="000D5A0C"/>
    <w:rsid w:val="000D6EDE"/>
    <w:rsid w:val="000D6FDF"/>
    <w:rsid w:val="000D76F8"/>
    <w:rsid w:val="000E0E9A"/>
    <w:rsid w:val="000E1E15"/>
    <w:rsid w:val="000E5AF0"/>
    <w:rsid w:val="000E7BB6"/>
    <w:rsid w:val="000F4E6E"/>
    <w:rsid w:val="00104CC2"/>
    <w:rsid w:val="001171CD"/>
    <w:rsid w:val="001173CC"/>
    <w:rsid w:val="00120510"/>
    <w:rsid w:val="00123BD0"/>
    <w:rsid w:val="00127D68"/>
    <w:rsid w:val="00131200"/>
    <w:rsid w:val="001313B5"/>
    <w:rsid w:val="00133170"/>
    <w:rsid w:val="00136324"/>
    <w:rsid w:val="00140A7A"/>
    <w:rsid w:val="00141DC0"/>
    <w:rsid w:val="001428FA"/>
    <w:rsid w:val="0014341F"/>
    <w:rsid w:val="00154B70"/>
    <w:rsid w:val="00160566"/>
    <w:rsid w:val="00161D0F"/>
    <w:rsid w:val="00172BEC"/>
    <w:rsid w:val="0018142B"/>
    <w:rsid w:val="001837D5"/>
    <w:rsid w:val="00184496"/>
    <w:rsid w:val="0019298A"/>
    <w:rsid w:val="001941CB"/>
    <w:rsid w:val="00195314"/>
    <w:rsid w:val="0019646D"/>
    <w:rsid w:val="001A0A54"/>
    <w:rsid w:val="001B016C"/>
    <w:rsid w:val="001B16A0"/>
    <w:rsid w:val="001B3468"/>
    <w:rsid w:val="001B3BEA"/>
    <w:rsid w:val="001B7FD3"/>
    <w:rsid w:val="001C11EA"/>
    <w:rsid w:val="001C43B7"/>
    <w:rsid w:val="001C53C0"/>
    <w:rsid w:val="001C6C9F"/>
    <w:rsid w:val="001D04E6"/>
    <w:rsid w:val="001D6C47"/>
    <w:rsid w:val="001D6DDD"/>
    <w:rsid w:val="001E3F2F"/>
    <w:rsid w:val="0020184B"/>
    <w:rsid w:val="00202B58"/>
    <w:rsid w:val="0020512C"/>
    <w:rsid w:val="002052E0"/>
    <w:rsid w:val="002106BA"/>
    <w:rsid w:val="00213B1C"/>
    <w:rsid w:val="0021480B"/>
    <w:rsid w:val="002209B6"/>
    <w:rsid w:val="0022355D"/>
    <w:rsid w:val="00227358"/>
    <w:rsid w:val="00227D13"/>
    <w:rsid w:val="00232F34"/>
    <w:rsid w:val="00237B18"/>
    <w:rsid w:val="0024424F"/>
    <w:rsid w:val="00244D21"/>
    <w:rsid w:val="00246809"/>
    <w:rsid w:val="00252D2D"/>
    <w:rsid w:val="00261502"/>
    <w:rsid w:val="00270E02"/>
    <w:rsid w:val="00275AD7"/>
    <w:rsid w:val="00286D3A"/>
    <w:rsid w:val="002910A4"/>
    <w:rsid w:val="002937D6"/>
    <w:rsid w:val="00294BD3"/>
    <w:rsid w:val="0029623E"/>
    <w:rsid w:val="002A4525"/>
    <w:rsid w:val="002A567D"/>
    <w:rsid w:val="002B13FA"/>
    <w:rsid w:val="002B1DDC"/>
    <w:rsid w:val="002B4205"/>
    <w:rsid w:val="002C104E"/>
    <w:rsid w:val="002C6C85"/>
    <w:rsid w:val="002C77F1"/>
    <w:rsid w:val="002D204D"/>
    <w:rsid w:val="002D5633"/>
    <w:rsid w:val="002D747B"/>
    <w:rsid w:val="002E2B20"/>
    <w:rsid w:val="002E4431"/>
    <w:rsid w:val="002F3FE2"/>
    <w:rsid w:val="002F580A"/>
    <w:rsid w:val="002F65B6"/>
    <w:rsid w:val="002F70C2"/>
    <w:rsid w:val="002F712E"/>
    <w:rsid w:val="002F7809"/>
    <w:rsid w:val="00302610"/>
    <w:rsid w:val="00302BA4"/>
    <w:rsid w:val="00306A70"/>
    <w:rsid w:val="00311E64"/>
    <w:rsid w:val="003156AB"/>
    <w:rsid w:val="00330DBB"/>
    <w:rsid w:val="0034031E"/>
    <w:rsid w:val="00340A8A"/>
    <w:rsid w:val="0034357E"/>
    <w:rsid w:val="00345D51"/>
    <w:rsid w:val="00347A73"/>
    <w:rsid w:val="00353C55"/>
    <w:rsid w:val="00360C90"/>
    <w:rsid w:val="00362886"/>
    <w:rsid w:val="00363D4C"/>
    <w:rsid w:val="00366C13"/>
    <w:rsid w:val="00366FC9"/>
    <w:rsid w:val="0037039C"/>
    <w:rsid w:val="00377FF3"/>
    <w:rsid w:val="00391B37"/>
    <w:rsid w:val="00393AE5"/>
    <w:rsid w:val="003A47EE"/>
    <w:rsid w:val="003A5F38"/>
    <w:rsid w:val="003B1A42"/>
    <w:rsid w:val="003B7F79"/>
    <w:rsid w:val="003D306C"/>
    <w:rsid w:val="003E4176"/>
    <w:rsid w:val="003E5F2C"/>
    <w:rsid w:val="003F345A"/>
    <w:rsid w:val="003F4D50"/>
    <w:rsid w:val="003F6140"/>
    <w:rsid w:val="00400FF1"/>
    <w:rsid w:val="00404CB6"/>
    <w:rsid w:val="0041011E"/>
    <w:rsid w:val="004130C7"/>
    <w:rsid w:val="004152F7"/>
    <w:rsid w:val="00415B28"/>
    <w:rsid w:val="00416D60"/>
    <w:rsid w:val="00420D32"/>
    <w:rsid w:val="004340FD"/>
    <w:rsid w:val="00440A02"/>
    <w:rsid w:val="00443CE2"/>
    <w:rsid w:val="00444AC9"/>
    <w:rsid w:val="00446775"/>
    <w:rsid w:val="00453C51"/>
    <w:rsid w:val="0045510A"/>
    <w:rsid w:val="00477809"/>
    <w:rsid w:val="00485AB2"/>
    <w:rsid w:val="004869FB"/>
    <w:rsid w:val="00491C26"/>
    <w:rsid w:val="00494B19"/>
    <w:rsid w:val="00496EBC"/>
    <w:rsid w:val="004A12CC"/>
    <w:rsid w:val="004B1024"/>
    <w:rsid w:val="004B4E26"/>
    <w:rsid w:val="004C0782"/>
    <w:rsid w:val="004C514E"/>
    <w:rsid w:val="004C5C6D"/>
    <w:rsid w:val="004C792E"/>
    <w:rsid w:val="004D64EB"/>
    <w:rsid w:val="004D6ED7"/>
    <w:rsid w:val="004D72E9"/>
    <w:rsid w:val="004F4882"/>
    <w:rsid w:val="005055CC"/>
    <w:rsid w:val="00505968"/>
    <w:rsid w:val="00515D15"/>
    <w:rsid w:val="00527371"/>
    <w:rsid w:val="0053661D"/>
    <w:rsid w:val="00543786"/>
    <w:rsid w:val="00544345"/>
    <w:rsid w:val="00546394"/>
    <w:rsid w:val="00557C29"/>
    <w:rsid w:val="005625F8"/>
    <w:rsid w:val="005638FE"/>
    <w:rsid w:val="005643BF"/>
    <w:rsid w:val="0056714B"/>
    <w:rsid w:val="00567DF9"/>
    <w:rsid w:val="005758C3"/>
    <w:rsid w:val="0057691F"/>
    <w:rsid w:val="0058015B"/>
    <w:rsid w:val="005816BE"/>
    <w:rsid w:val="00582CA9"/>
    <w:rsid w:val="00586B15"/>
    <w:rsid w:val="005871DB"/>
    <w:rsid w:val="00590387"/>
    <w:rsid w:val="005920AA"/>
    <w:rsid w:val="005943AB"/>
    <w:rsid w:val="00595851"/>
    <w:rsid w:val="005A0150"/>
    <w:rsid w:val="005A446A"/>
    <w:rsid w:val="005A5A52"/>
    <w:rsid w:val="005B155D"/>
    <w:rsid w:val="005B3746"/>
    <w:rsid w:val="005C0CC1"/>
    <w:rsid w:val="005C0F4B"/>
    <w:rsid w:val="005C7FAE"/>
    <w:rsid w:val="005D7EC2"/>
    <w:rsid w:val="005E1004"/>
    <w:rsid w:val="005E53E9"/>
    <w:rsid w:val="005F6024"/>
    <w:rsid w:val="00613B4E"/>
    <w:rsid w:val="00622BFA"/>
    <w:rsid w:val="0062333E"/>
    <w:rsid w:val="00625704"/>
    <w:rsid w:val="006332A0"/>
    <w:rsid w:val="00637B68"/>
    <w:rsid w:val="006456CA"/>
    <w:rsid w:val="00651AA9"/>
    <w:rsid w:val="00660C6F"/>
    <w:rsid w:val="0067143D"/>
    <w:rsid w:val="006855BC"/>
    <w:rsid w:val="006A5700"/>
    <w:rsid w:val="006B2BBC"/>
    <w:rsid w:val="006B37AE"/>
    <w:rsid w:val="006B6F82"/>
    <w:rsid w:val="006B71AD"/>
    <w:rsid w:val="006B7F02"/>
    <w:rsid w:val="006C62AE"/>
    <w:rsid w:val="006C77D2"/>
    <w:rsid w:val="006D06F4"/>
    <w:rsid w:val="006D2C90"/>
    <w:rsid w:val="006D51EA"/>
    <w:rsid w:val="006E25D6"/>
    <w:rsid w:val="006E7E5E"/>
    <w:rsid w:val="006F2022"/>
    <w:rsid w:val="006F251B"/>
    <w:rsid w:val="006F5124"/>
    <w:rsid w:val="00702929"/>
    <w:rsid w:val="00703968"/>
    <w:rsid w:val="0070529E"/>
    <w:rsid w:val="007054B6"/>
    <w:rsid w:val="007136BD"/>
    <w:rsid w:val="00715134"/>
    <w:rsid w:val="007216F0"/>
    <w:rsid w:val="007411C3"/>
    <w:rsid w:val="00764FF4"/>
    <w:rsid w:val="00775989"/>
    <w:rsid w:val="00776591"/>
    <w:rsid w:val="00791EC8"/>
    <w:rsid w:val="007971B2"/>
    <w:rsid w:val="007A5077"/>
    <w:rsid w:val="007A7529"/>
    <w:rsid w:val="007B1748"/>
    <w:rsid w:val="007B3B1C"/>
    <w:rsid w:val="007C0AAF"/>
    <w:rsid w:val="007C4CB3"/>
    <w:rsid w:val="007D08B9"/>
    <w:rsid w:val="007D3C34"/>
    <w:rsid w:val="007F63C8"/>
    <w:rsid w:val="008064EA"/>
    <w:rsid w:val="008074A4"/>
    <w:rsid w:val="008272CC"/>
    <w:rsid w:val="008310A1"/>
    <w:rsid w:val="00834BF9"/>
    <w:rsid w:val="00840D5B"/>
    <w:rsid w:val="0084171D"/>
    <w:rsid w:val="00850137"/>
    <w:rsid w:val="00851A5B"/>
    <w:rsid w:val="00857F1E"/>
    <w:rsid w:val="0086291C"/>
    <w:rsid w:val="00863069"/>
    <w:rsid w:val="00863934"/>
    <w:rsid w:val="008722E9"/>
    <w:rsid w:val="00875B57"/>
    <w:rsid w:val="00877D8B"/>
    <w:rsid w:val="00881598"/>
    <w:rsid w:val="008833B5"/>
    <w:rsid w:val="00883C9A"/>
    <w:rsid w:val="00887209"/>
    <w:rsid w:val="00890ECD"/>
    <w:rsid w:val="0089119E"/>
    <w:rsid w:val="008944C5"/>
    <w:rsid w:val="00897C50"/>
    <w:rsid w:val="008A284D"/>
    <w:rsid w:val="008B0B45"/>
    <w:rsid w:val="008B4254"/>
    <w:rsid w:val="008B5BFB"/>
    <w:rsid w:val="008C18D9"/>
    <w:rsid w:val="008D6630"/>
    <w:rsid w:val="008E199E"/>
    <w:rsid w:val="008E2C5C"/>
    <w:rsid w:val="008E38CD"/>
    <w:rsid w:val="008F534D"/>
    <w:rsid w:val="008F709A"/>
    <w:rsid w:val="00900C0A"/>
    <w:rsid w:val="00907BFD"/>
    <w:rsid w:val="009104EA"/>
    <w:rsid w:val="00911039"/>
    <w:rsid w:val="00915278"/>
    <w:rsid w:val="0092516E"/>
    <w:rsid w:val="00925DFD"/>
    <w:rsid w:val="00927A18"/>
    <w:rsid w:val="00933B84"/>
    <w:rsid w:val="009423CC"/>
    <w:rsid w:val="00942DDC"/>
    <w:rsid w:val="009444C5"/>
    <w:rsid w:val="00961B64"/>
    <w:rsid w:val="009646FF"/>
    <w:rsid w:val="00965825"/>
    <w:rsid w:val="009659DE"/>
    <w:rsid w:val="009670E6"/>
    <w:rsid w:val="0097551A"/>
    <w:rsid w:val="009828FC"/>
    <w:rsid w:val="00984ECC"/>
    <w:rsid w:val="00986CAF"/>
    <w:rsid w:val="00992C38"/>
    <w:rsid w:val="00994BDD"/>
    <w:rsid w:val="009A20E3"/>
    <w:rsid w:val="009A52C8"/>
    <w:rsid w:val="009A5E62"/>
    <w:rsid w:val="009B2B1C"/>
    <w:rsid w:val="009B3671"/>
    <w:rsid w:val="009B382E"/>
    <w:rsid w:val="009B3E78"/>
    <w:rsid w:val="009D1FFB"/>
    <w:rsid w:val="009E035F"/>
    <w:rsid w:val="009E3E0C"/>
    <w:rsid w:val="009E45DB"/>
    <w:rsid w:val="009E67F1"/>
    <w:rsid w:val="009E7FA6"/>
    <w:rsid w:val="00A03995"/>
    <w:rsid w:val="00A03AE7"/>
    <w:rsid w:val="00A03FFE"/>
    <w:rsid w:val="00A14B2B"/>
    <w:rsid w:val="00A17D40"/>
    <w:rsid w:val="00A252CF"/>
    <w:rsid w:val="00A27F9E"/>
    <w:rsid w:val="00A303B3"/>
    <w:rsid w:val="00A30B51"/>
    <w:rsid w:val="00A37075"/>
    <w:rsid w:val="00A40477"/>
    <w:rsid w:val="00A44C94"/>
    <w:rsid w:val="00A4651E"/>
    <w:rsid w:val="00A50DC7"/>
    <w:rsid w:val="00A55608"/>
    <w:rsid w:val="00A55679"/>
    <w:rsid w:val="00A57022"/>
    <w:rsid w:val="00A638BE"/>
    <w:rsid w:val="00A671BD"/>
    <w:rsid w:val="00A72FD5"/>
    <w:rsid w:val="00A74FAB"/>
    <w:rsid w:val="00A7549F"/>
    <w:rsid w:val="00A77442"/>
    <w:rsid w:val="00A7772B"/>
    <w:rsid w:val="00A84A88"/>
    <w:rsid w:val="00A90F2A"/>
    <w:rsid w:val="00AA117F"/>
    <w:rsid w:val="00AA1CE9"/>
    <w:rsid w:val="00AA1E2E"/>
    <w:rsid w:val="00AB6724"/>
    <w:rsid w:val="00AC3CCA"/>
    <w:rsid w:val="00AC4141"/>
    <w:rsid w:val="00AC7C07"/>
    <w:rsid w:val="00AC7D2D"/>
    <w:rsid w:val="00AD0D03"/>
    <w:rsid w:val="00AD6B47"/>
    <w:rsid w:val="00AE17D9"/>
    <w:rsid w:val="00AE1B54"/>
    <w:rsid w:val="00AF279C"/>
    <w:rsid w:val="00AF3AA1"/>
    <w:rsid w:val="00AF4FE5"/>
    <w:rsid w:val="00AF550A"/>
    <w:rsid w:val="00AF5791"/>
    <w:rsid w:val="00AF627B"/>
    <w:rsid w:val="00AF7B83"/>
    <w:rsid w:val="00B048D2"/>
    <w:rsid w:val="00B103D2"/>
    <w:rsid w:val="00B111BC"/>
    <w:rsid w:val="00B15C10"/>
    <w:rsid w:val="00B16467"/>
    <w:rsid w:val="00B17347"/>
    <w:rsid w:val="00B2292F"/>
    <w:rsid w:val="00B239B9"/>
    <w:rsid w:val="00B249BB"/>
    <w:rsid w:val="00B41A57"/>
    <w:rsid w:val="00B4285E"/>
    <w:rsid w:val="00B42D24"/>
    <w:rsid w:val="00B46EE3"/>
    <w:rsid w:val="00B53FB1"/>
    <w:rsid w:val="00B5665C"/>
    <w:rsid w:val="00B60A21"/>
    <w:rsid w:val="00B61A72"/>
    <w:rsid w:val="00B63B81"/>
    <w:rsid w:val="00B647B5"/>
    <w:rsid w:val="00B652C2"/>
    <w:rsid w:val="00B66DE2"/>
    <w:rsid w:val="00B73F73"/>
    <w:rsid w:val="00B76DD8"/>
    <w:rsid w:val="00B91E79"/>
    <w:rsid w:val="00B95047"/>
    <w:rsid w:val="00B97D2C"/>
    <w:rsid w:val="00BA67E2"/>
    <w:rsid w:val="00BB1231"/>
    <w:rsid w:val="00BB4ABD"/>
    <w:rsid w:val="00BB6789"/>
    <w:rsid w:val="00BC7A0B"/>
    <w:rsid w:val="00BE130A"/>
    <w:rsid w:val="00BE41EC"/>
    <w:rsid w:val="00BF026A"/>
    <w:rsid w:val="00BF1749"/>
    <w:rsid w:val="00BF1BC6"/>
    <w:rsid w:val="00BF240B"/>
    <w:rsid w:val="00BF3F4D"/>
    <w:rsid w:val="00BF4394"/>
    <w:rsid w:val="00C04BFC"/>
    <w:rsid w:val="00C069EF"/>
    <w:rsid w:val="00C1391F"/>
    <w:rsid w:val="00C15BF9"/>
    <w:rsid w:val="00C20EAE"/>
    <w:rsid w:val="00C22F29"/>
    <w:rsid w:val="00C268B9"/>
    <w:rsid w:val="00C3121A"/>
    <w:rsid w:val="00C4105E"/>
    <w:rsid w:val="00C45C79"/>
    <w:rsid w:val="00C46867"/>
    <w:rsid w:val="00C46941"/>
    <w:rsid w:val="00C47076"/>
    <w:rsid w:val="00C474F0"/>
    <w:rsid w:val="00C500D6"/>
    <w:rsid w:val="00C50A11"/>
    <w:rsid w:val="00C51ED7"/>
    <w:rsid w:val="00C572E7"/>
    <w:rsid w:val="00C5736A"/>
    <w:rsid w:val="00C72F1C"/>
    <w:rsid w:val="00C81BF6"/>
    <w:rsid w:val="00C85607"/>
    <w:rsid w:val="00C858B4"/>
    <w:rsid w:val="00C868A4"/>
    <w:rsid w:val="00C87C9E"/>
    <w:rsid w:val="00C97748"/>
    <w:rsid w:val="00CA03CE"/>
    <w:rsid w:val="00CA3C2A"/>
    <w:rsid w:val="00CA7357"/>
    <w:rsid w:val="00CA7360"/>
    <w:rsid w:val="00CB00CA"/>
    <w:rsid w:val="00CB0B5F"/>
    <w:rsid w:val="00CB4731"/>
    <w:rsid w:val="00CB5BD4"/>
    <w:rsid w:val="00CB776C"/>
    <w:rsid w:val="00CC7C2B"/>
    <w:rsid w:val="00CD2CB6"/>
    <w:rsid w:val="00CD3A38"/>
    <w:rsid w:val="00CD4580"/>
    <w:rsid w:val="00CE0970"/>
    <w:rsid w:val="00CE3E77"/>
    <w:rsid w:val="00CE50E2"/>
    <w:rsid w:val="00CE7DD7"/>
    <w:rsid w:val="00CF03E2"/>
    <w:rsid w:val="00CF0BF6"/>
    <w:rsid w:val="00CF37EA"/>
    <w:rsid w:val="00D026D2"/>
    <w:rsid w:val="00D032C0"/>
    <w:rsid w:val="00D045D1"/>
    <w:rsid w:val="00D07BE0"/>
    <w:rsid w:val="00D1263C"/>
    <w:rsid w:val="00D155EC"/>
    <w:rsid w:val="00D27D5F"/>
    <w:rsid w:val="00D52F7F"/>
    <w:rsid w:val="00D54D67"/>
    <w:rsid w:val="00D57AD7"/>
    <w:rsid w:val="00D62E69"/>
    <w:rsid w:val="00D653B9"/>
    <w:rsid w:val="00D66B3A"/>
    <w:rsid w:val="00D81B5D"/>
    <w:rsid w:val="00D8504C"/>
    <w:rsid w:val="00D85DE7"/>
    <w:rsid w:val="00D86B9D"/>
    <w:rsid w:val="00D906B7"/>
    <w:rsid w:val="00D94027"/>
    <w:rsid w:val="00DA78E2"/>
    <w:rsid w:val="00DB0503"/>
    <w:rsid w:val="00DC0BEC"/>
    <w:rsid w:val="00DC260B"/>
    <w:rsid w:val="00DD2DF9"/>
    <w:rsid w:val="00DD6385"/>
    <w:rsid w:val="00DD6E5A"/>
    <w:rsid w:val="00DE2F43"/>
    <w:rsid w:val="00DE6A4E"/>
    <w:rsid w:val="00E12B70"/>
    <w:rsid w:val="00E152AC"/>
    <w:rsid w:val="00E15BC0"/>
    <w:rsid w:val="00E20E4E"/>
    <w:rsid w:val="00E2129F"/>
    <w:rsid w:val="00E266F6"/>
    <w:rsid w:val="00E35E16"/>
    <w:rsid w:val="00E37428"/>
    <w:rsid w:val="00E41919"/>
    <w:rsid w:val="00E46902"/>
    <w:rsid w:val="00E46E34"/>
    <w:rsid w:val="00E52283"/>
    <w:rsid w:val="00E53105"/>
    <w:rsid w:val="00E53A09"/>
    <w:rsid w:val="00E5496A"/>
    <w:rsid w:val="00E54BCB"/>
    <w:rsid w:val="00E635DD"/>
    <w:rsid w:val="00E6404B"/>
    <w:rsid w:val="00E645DD"/>
    <w:rsid w:val="00E66C76"/>
    <w:rsid w:val="00E713BB"/>
    <w:rsid w:val="00E76520"/>
    <w:rsid w:val="00E84D1F"/>
    <w:rsid w:val="00E90B27"/>
    <w:rsid w:val="00E91F2A"/>
    <w:rsid w:val="00E93B69"/>
    <w:rsid w:val="00E9404A"/>
    <w:rsid w:val="00EA33F8"/>
    <w:rsid w:val="00EA3FA0"/>
    <w:rsid w:val="00EA49FB"/>
    <w:rsid w:val="00EA4E1E"/>
    <w:rsid w:val="00EB54FE"/>
    <w:rsid w:val="00EB751C"/>
    <w:rsid w:val="00EC11A5"/>
    <w:rsid w:val="00EC53AE"/>
    <w:rsid w:val="00ED3C18"/>
    <w:rsid w:val="00EE3C6E"/>
    <w:rsid w:val="00EE4266"/>
    <w:rsid w:val="00EE7A18"/>
    <w:rsid w:val="00EF36D8"/>
    <w:rsid w:val="00F02150"/>
    <w:rsid w:val="00F0229E"/>
    <w:rsid w:val="00F0618E"/>
    <w:rsid w:val="00F06AB5"/>
    <w:rsid w:val="00F11DD8"/>
    <w:rsid w:val="00F1529C"/>
    <w:rsid w:val="00F20CE4"/>
    <w:rsid w:val="00F24A98"/>
    <w:rsid w:val="00F33E31"/>
    <w:rsid w:val="00F56591"/>
    <w:rsid w:val="00F568BF"/>
    <w:rsid w:val="00F63B2D"/>
    <w:rsid w:val="00F700D5"/>
    <w:rsid w:val="00F91897"/>
    <w:rsid w:val="00F9324D"/>
    <w:rsid w:val="00F9391D"/>
    <w:rsid w:val="00F94171"/>
    <w:rsid w:val="00F941BA"/>
    <w:rsid w:val="00FA188C"/>
    <w:rsid w:val="00FA755F"/>
    <w:rsid w:val="00FC1E2F"/>
    <w:rsid w:val="00FC364D"/>
    <w:rsid w:val="00FC41CD"/>
    <w:rsid w:val="00FD79DC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9E035F"/>
    <w:pPr>
      <w:spacing w:line="288" w:lineRule="auto"/>
    </w:pPr>
    <w:rPr>
      <w:sz w:val="28"/>
    </w:rPr>
  </w:style>
  <w:style w:type="paragraph" w:customStyle="1" w:styleId="ab">
    <w:name w:val="мф рт"/>
    <w:basedOn w:val="a"/>
    <w:link w:val="ac"/>
    <w:qFormat/>
    <w:rsid w:val="009E035F"/>
  </w:style>
  <w:style w:type="character" w:customStyle="1" w:styleId="ac">
    <w:name w:val="мф рт Знак"/>
    <w:link w:val="ab"/>
    <w:rsid w:val="009E035F"/>
  </w:style>
  <w:style w:type="character" w:customStyle="1" w:styleId="st1">
    <w:name w:val="st1"/>
    <w:rsid w:val="00CB776C"/>
  </w:style>
  <w:style w:type="paragraph" w:styleId="ad">
    <w:name w:val="List Paragraph"/>
    <w:basedOn w:val="a"/>
    <w:uiPriority w:val="34"/>
    <w:qFormat/>
    <w:rsid w:val="00A03995"/>
    <w:pPr>
      <w:ind w:left="720"/>
      <w:contextualSpacing/>
    </w:pPr>
  </w:style>
  <w:style w:type="table" w:styleId="ae">
    <w:name w:val="Table Grid"/>
    <w:basedOn w:val="a1"/>
    <w:rsid w:val="00C87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195314"/>
    <w:rPr>
      <w:i/>
      <w:iCs/>
    </w:rPr>
  </w:style>
  <w:style w:type="paragraph" w:customStyle="1" w:styleId="ConsPlusNormal">
    <w:name w:val="ConsPlusNormal"/>
    <w:rsid w:val="004101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1011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9E035F"/>
    <w:pPr>
      <w:spacing w:line="288" w:lineRule="auto"/>
    </w:pPr>
    <w:rPr>
      <w:sz w:val="28"/>
    </w:rPr>
  </w:style>
  <w:style w:type="paragraph" w:customStyle="1" w:styleId="ab">
    <w:name w:val="мф рт"/>
    <w:basedOn w:val="a"/>
    <w:link w:val="ac"/>
    <w:qFormat/>
    <w:rsid w:val="009E035F"/>
  </w:style>
  <w:style w:type="character" w:customStyle="1" w:styleId="ac">
    <w:name w:val="мф рт Знак"/>
    <w:link w:val="ab"/>
    <w:rsid w:val="009E035F"/>
  </w:style>
  <w:style w:type="character" w:customStyle="1" w:styleId="st1">
    <w:name w:val="st1"/>
    <w:rsid w:val="00CB776C"/>
  </w:style>
  <w:style w:type="paragraph" w:styleId="ad">
    <w:name w:val="List Paragraph"/>
    <w:basedOn w:val="a"/>
    <w:uiPriority w:val="34"/>
    <w:qFormat/>
    <w:rsid w:val="00A03995"/>
    <w:pPr>
      <w:ind w:left="720"/>
      <w:contextualSpacing/>
    </w:pPr>
  </w:style>
  <w:style w:type="table" w:styleId="ae">
    <w:name w:val="Table Grid"/>
    <w:basedOn w:val="a1"/>
    <w:rsid w:val="00C87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195314"/>
    <w:rPr>
      <w:i/>
      <w:iCs/>
    </w:rPr>
  </w:style>
  <w:style w:type="paragraph" w:customStyle="1" w:styleId="ConsPlusNormal">
    <w:name w:val="ConsPlusNormal"/>
    <w:rsid w:val="004101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1011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83D59B7AD607FAD4679128F32CB9B6E1661AF30C246B09255F9F37211183DF32AA9AFADBE6EF34B559F1850E6f5I9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83D59B7AD607FAD4679128F32CB9B6E1661AF30C246B09255F9F37211183DF32AA9AFADBE6EF34B559F1850E6f5I9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59B7AD607FAD4679128F32CB9B6E1661AF30C246B09255F9F37211183DF32AA9AFADBE6EF34B559F1850E6f5I9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83D59B7AD607FAD4679128F32CB9B6E1661AF30C246B09255F9F37211183DF32AA9AFADBE6EF34B559F1850E6f5I9J" TargetMode="External"/><Relationship Id="rId10" Type="http://schemas.openxmlformats.org/officeDocument/2006/relationships/hyperlink" Target="mailto:minfin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83D59B7AD607FAD4679128F32CB9B6E1661AF30C246B09255F9F37211183DF32AA9AFADBE6EF34B559F1850E6f5I9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5BF6-4575-43FE-B92E-EE06CD32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38</TotalTime>
  <Pages>8</Pages>
  <Words>1511</Words>
  <Characters>12306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13790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Маликова Лилия Рустемовна</dc:creator>
  <cp:lastModifiedBy>Минфин РТ-Садриева Диана Саиджановна</cp:lastModifiedBy>
  <cp:revision>9</cp:revision>
  <cp:lastPrinted>2020-05-28T08:17:00Z</cp:lastPrinted>
  <dcterms:created xsi:type="dcterms:W3CDTF">2020-05-28T08:18:00Z</dcterms:created>
  <dcterms:modified xsi:type="dcterms:W3CDTF">2020-05-28T13:24:00Z</dcterms:modified>
</cp:coreProperties>
</file>