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5E2" w:rsidRPr="008B45E2" w:rsidRDefault="008B45E2" w:rsidP="008B45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B45E2">
        <w:rPr>
          <w:rFonts w:ascii="Times New Roman" w:hAnsi="Times New Roman" w:cs="Times New Roman"/>
          <w:b/>
          <w:sz w:val="28"/>
          <w:szCs w:val="28"/>
        </w:rPr>
        <w:t xml:space="preserve">Сан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артында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язмышлар</w:t>
      </w:r>
      <w:proofErr w:type="spellEnd"/>
    </w:p>
    <w:bookmarkEnd w:id="0"/>
    <w:p w:rsidR="008B45E2" w:rsidRPr="008B45E2" w:rsidRDefault="008B45E2" w:rsidP="008B45E2">
      <w:pPr>
        <w:jc w:val="both"/>
        <w:rPr>
          <w:rFonts w:ascii="Times New Roman" w:hAnsi="Times New Roman" w:cs="Times New Roman"/>
          <w:sz w:val="28"/>
          <w:szCs w:val="28"/>
        </w:rPr>
      </w:pPr>
      <w:r w:rsidRPr="008B45E2">
        <w:rPr>
          <w:rFonts w:ascii="Times New Roman" w:hAnsi="Times New Roman" w:cs="Times New Roman"/>
          <w:sz w:val="28"/>
          <w:szCs w:val="28"/>
        </w:rPr>
        <w:fldChar w:fldCharType="begin"/>
      </w:r>
      <w:r w:rsidRPr="008B45E2">
        <w:rPr>
          <w:rFonts w:ascii="Times New Roman" w:hAnsi="Times New Roman" w:cs="Times New Roman"/>
          <w:sz w:val="28"/>
          <w:szCs w:val="28"/>
        </w:rPr>
        <w:instrText xml:space="preserve"> HYPERLINK "https://vatantat.ru/2019/10/san-artynda-yazmyshlar/" </w:instrText>
      </w:r>
      <w:r w:rsidRPr="008B45E2">
        <w:rPr>
          <w:rFonts w:ascii="Times New Roman" w:hAnsi="Times New Roman" w:cs="Times New Roman"/>
          <w:sz w:val="28"/>
          <w:szCs w:val="28"/>
        </w:rPr>
        <w:fldChar w:fldCharType="separate"/>
      </w:r>
      <w:r w:rsidRPr="008B45E2">
        <w:rPr>
          <w:rStyle w:val="a5"/>
          <w:rFonts w:ascii="Times New Roman" w:hAnsi="Times New Roman" w:cs="Times New Roman"/>
          <w:sz w:val="28"/>
          <w:szCs w:val="28"/>
        </w:rPr>
        <w:t>Октябрь 22, 2019</w:t>
      </w:r>
      <w:r w:rsidRPr="008B45E2">
        <w:rPr>
          <w:rFonts w:ascii="Times New Roman" w:hAnsi="Times New Roman" w:cs="Times New Roman"/>
          <w:sz w:val="28"/>
          <w:szCs w:val="28"/>
        </w:rPr>
        <w:fldChar w:fldCharType="end"/>
      </w:r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5E2" w:rsidRPr="008B45E2" w:rsidRDefault="008B45E2" w:rsidP="008B45E2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Узган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атнада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быелның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тугыз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аенда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Татарстан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тупланма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бюджетын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үтәү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йомгакларына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багышланган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республика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киңәшмәсе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булып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узды.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Иртәгә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ис</w:t>
      </w:r>
      <w:proofErr w:type="gramStart"/>
      <w:r w:rsidRPr="008B45E2">
        <w:rPr>
          <w:rFonts w:ascii="Times New Roman" w:hAnsi="Times New Roman" w:cs="Times New Roman"/>
          <w:i/>
          <w:sz w:val="28"/>
          <w:szCs w:val="28"/>
        </w:rPr>
        <w:t>ә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Д</w:t>
      </w:r>
      <w:proofErr w:type="gramEnd"/>
      <w:r w:rsidRPr="008B45E2">
        <w:rPr>
          <w:rFonts w:ascii="Times New Roman" w:hAnsi="Times New Roman" w:cs="Times New Roman"/>
          <w:i/>
          <w:sz w:val="28"/>
          <w:szCs w:val="28"/>
        </w:rPr>
        <w:t>әүләт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Советы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сессиясендә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дә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бюджет проекты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мәсьәләсе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карала.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Шуны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8B45E2">
        <w:rPr>
          <w:rFonts w:ascii="Times New Roman" w:hAnsi="Times New Roman" w:cs="Times New Roman"/>
          <w:i/>
          <w:sz w:val="28"/>
          <w:szCs w:val="28"/>
        </w:rPr>
        <w:t>ист</w:t>
      </w:r>
      <w:proofErr w:type="gramEnd"/>
      <w:r w:rsidRPr="008B45E2">
        <w:rPr>
          <w:rFonts w:ascii="Times New Roman" w:hAnsi="Times New Roman" w:cs="Times New Roman"/>
          <w:i/>
          <w:sz w:val="28"/>
          <w:szCs w:val="28"/>
        </w:rPr>
        <w:t>ә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тотып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, Татарстан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Республикасы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финанс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министры Радик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Гайзатуллин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белән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тупланма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керемнәр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күләме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үсүенең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әһәмияте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илкүләм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проектларны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тормышка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ашыру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тулаем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2020 – 2022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елларга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бюджет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турында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әңгәмә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i/>
          <w:sz w:val="28"/>
          <w:szCs w:val="28"/>
        </w:rPr>
        <w:t>кордык</w:t>
      </w:r>
      <w:proofErr w:type="spellEnd"/>
      <w:r w:rsidRPr="008B45E2">
        <w:rPr>
          <w:rFonts w:ascii="Times New Roman" w:hAnsi="Times New Roman" w:cs="Times New Roman"/>
          <w:i/>
          <w:sz w:val="28"/>
          <w:szCs w:val="28"/>
        </w:rPr>
        <w:t>.</w:t>
      </w:r>
    </w:p>
    <w:p w:rsidR="008B45E2" w:rsidRDefault="008B45E2" w:rsidP="008B45E2">
      <w:pPr>
        <w:jc w:val="both"/>
        <w:rPr>
          <w:rFonts w:ascii="Times New Roman" w:hAnsi="Times New Roman" w:cs="Times New Roman"/>
          <w:sz w:val="28"/>
          <w:szCs w:val="28"/>
        </w:rPr>
      </w:pPr>
      <w:r w:rsidRPr="008B45E2">
        <w:rPr>
          <w:rFonts w:ascii="Times New Roman" w:hAnsi="Times New Roman" w:cs="Times New Roman"/>
          <w:b/>
          <w:sz w:val="28"/>
          <w:szCs w:val="28"/>
        </w:rPr>
        <w:t xml:space="preserve">–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Керем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темасы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җәһәтеннән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республика, Идел буе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федераль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округы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тулаем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Россия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буенча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керемнәрне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туплауның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үсеш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темплары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турында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сөйлә</w:t>
      </w:r>
      <w:proofErr w:type="gramStart"/>
      <w:r w:rsidRPr="008B45E2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үтмәссезме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? </w:t>
      </w:r>
      <w:proofErr w:type="spellStart"/>
      <w:proofErr w:type="gramStart"/>
      <w:r w:rsidRPr="008B45E2">
        <w:rPr>
          <w:rFonts w:ascii="Times New Roman" w:hAnsi="Times New Roman" w:cs="Times New Roman"/>
          <w:b/>
          <w:sz w:val="28"/>
          <w:szCs w:val="28"/>
        </w:rPr>
        <w:t>Бу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8B45E2">
        <w:rPr>
          <w:rFonts w:ascii="Times New Roman" w:hAnsi="Times New Roman" w:cs="Times New Roman"/>
          <w:b/>
          <w:sz w:val="28"/>
          <w:szCs w:val="28"/>
        </w:rPr>
        <w:t>үрсәткечләрнең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үсүе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ни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өчен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бик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мөһим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>?</w:t>
      </w:r>
    </w:p>
    <w:p w:rsidR="008B45E2" w:rsidRPr="008B45E2" w:rsidRDefault="008B45E2" w:rsidP="008B45E2">
      <w:pPr>
        <w:jc w:val="both"/>
        <w:rPr>
          <w:rFonts w:ascii="Times New Roman" w:hAnsi="Times New Roman" w:cs="Times New Roman"/>
          <w:sz w:val="28"/>
          <w:szCs w:val="28"/>
        </w:rPr>
      </w:pPr>
      <w:r w:rsidRPr="008B45E2">
        <w:rPr>
          <w:rFonts w:ascii="Times New Roman" w:hAnsi="Times New Roman" w:cs="Times New Roman"/>
          <w:sz w:val="28"/>
          <w:szCs w:val="28"/>
        </w:rPr>
        <w:br/>
        <w:t xml:space="preserve">– Татарстан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тупланма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керем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кү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8B45E2">
        <w:rPr>
          <w:rFonts w:ascii="Times New Roman" w:hAnsi="Times New Roman" w:cs="Times New Roman"/>
          <w:sz w:val="28"/>
          <w:szCs w:val="28"/>
        </w:rPr>
        <w:t>әме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ягыннан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беренче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яртыеллык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йомгаклары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чагыштырганда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күрсәткечләрен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яхшыртып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Россия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субъектлары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бишенче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урынга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чыкты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2018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шушы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чорындагыга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карата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үсеш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темпы 108,5 процент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тәшкил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итә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>.</w:t>
      </w:r>
    </w:p>
    <w:p w:rsidR="008B45E2" w:rsidRDefault="008B45E2" w:rsidP="008B45E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Асылда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бюджетның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тө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функцияләре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гаилә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бюджетыныкымы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төбәк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яки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бюджетныкымы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теләсә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кайсы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бюджет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төрле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Аларның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һәркайсы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керемнә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чыгымнардан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тора.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Керемнәрнең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үсүе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әлбә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>тт</w:t>
      </w:r>
      <w:proofErr w:type="gramEnd"/>
      <w:r w:rsidRPr="008B45E2">
        <w:rPr>
          <w:rFonts w:ascii="Times New Roman" w:hAnsi="Times New Roman" w:cs="Times New Roman"/>
          <w:sz w:val="28"/>
          <w:szCs w:val="28"/>
        </w:rPr>
        <w:t>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инде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күбрәк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нәтиҗәлерәк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чыгым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тоту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мөмкинлеге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бирә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Безнең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очракта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– бюджет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өлкәсендә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эшләүчеләрнең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хакын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иҗтимагый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инфраструктура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объектларын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булдыру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социаль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күрсәтү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учреждениеләре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эшчәнлеген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һ.б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дигән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сүз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Гади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генә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әйтсәк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бюджет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чыгымнары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барыбызга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һәркайсыбызга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кагыла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әйбер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B45E2">
        <w:rPr>
          <w:rFonts w:ascii="Times New Roman" w:hAnsi="Times New Roman" w:cs="Times New Roman"/>
          <w:sz w:val="28"/>
          <w:szCs w:val="28"/>
        </w:rPr>
        <w:t>ул</w:t>
      </w:r>
      <w:proofErr w:type="spellEnd"/>
      <w:proofErr w:type="gramEnd"/>
      <w:r w:rsidRPr="008B45E2">
        <w:rPr>
          <w:rFonts w:ascii="Times New Roman" w:hAnsi="Times New Roman" w:cs="Times New Roman"/>
          <w:sz w:val="28"/>
          <w:szCs w:val="28"/>
        </w:rPr>
        <w:t xml:space="preserve">, ә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инде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тупланма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керемнең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үсүе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санап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үтелгән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барлык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йөкләмәләрне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үтәүнең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нигезе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булып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тора.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Чыгымнар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темасына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кагылганбыз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икән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агымдагы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тугыз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аенда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бюджетның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чыгым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өлешен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үтәү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сөйлә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үтү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кирәк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Татарстан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тупланма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бюджетында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чыгым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күләме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212,8 миллиард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сум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тәшкил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итте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Республика бюджеты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чыгымнары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– 182,5 миллиард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сум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күләмендә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берәмлеклә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чыгымнары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исә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63,1 миллиард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сум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тәшкил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итте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>.</w:t>
      </w:r>
    </w:p>
    <w:p w:rsidR="008B45E2" w:rsidRDefault="008B45E2" w:rsidP="008B45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5E2" w:rsidRPr="008B45E2" w:rsidRDefault="008B45E2" w:rsidP="008B45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5E2">
        <w:rPr>
          <w:rFonts w:ascii="Times New Roman" w:hAnsi="Times New Roman" w:cs="Times New Roman"/>
          <w:b/>
          <w:sz w:val="28"/>
          <w:szCs w:val="28"/>
        </w:rPr>
        <w:t xml:space="preserve">–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Илкүләм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проектлар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Россия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хөкүмәте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Татарстан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җ</w:t>
      </w:r>
      <w:proofErr w:type="gramStart"/>
      <w:r w:rsidRPr="008B45E2">
        <w:rPr>
          <w:rFonts w:ascii="Times New Roman" w:hAnsi="Times New Roman" w:cs="Times New Roman"/>
          <w:b/>
          <w:sz w:val="28"/>
          <w:szCs w:val="28"/>
        </w:rPr>
        <w:t>ит</w:t>
      </w:r>
      <w:proofErr w:type="gramEnd"/>
      <w:r w:rsidRPr="008B45E2">
        <w:rPr>
          <w:rFonts w:ascii="Times New Roman" w:hAnsi="Times New Roman" w:cs="Times New Roman"/>
          <w:b/>
          <w:sz w:val="28"/>
          <w:szCs w:val="28"/>
        </w:rPr>
        <w:t>әкчелегенең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даими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контрольлегендә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тотылып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килә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Шуңа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күрә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алар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һәркайсыбыз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lastRenderedPageBreak/>
        <w:t>телендә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. Без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дә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әлеге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теманы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читләтеп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үтсәк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дөрес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булмас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Республикабызда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бу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җәһә</w:t>
      </w:r>
      <w:proofErr w:type="gramStart"/>
      <w:r w:rsidRPr="008B45E2">
        <w:rPr>
          <w:rFonts w:ascii="Times New Roman" w:hAnsi="Times New Roman" w:cs="Times New Roman"/>
          <w:b/>
          <w:sz w:val="28"/>
          <w:szCs w:val="28"/>
        </w:rPr>
        <w:t>тт</w:t>
      </w:r>
      <w:proofErr w:type="gramEnd"/>
      <w:r w:rsidRPr="008B45E2">
        <w:rPr>
          <w:rFonts w:ascii="Times New Roman" w:hAnsi="Times New Roman" w:cs="Times New Roman"/>
          <w:b/>
          <w:sz w:val="28"/>
          <w:szCs w:val="28"/>
        </w:rPr>
        <w:t>ән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хәлләр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ничегрәк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>?</w:t>
      </w:r>
    </w:p>
    <w:p w:rsidR="008B45E2" w:rsidRPr="008B45E2" w:rsidRDefault="008B45E2" w:rsidP="008B45E2">
      <w:pPr>
        <w:jc w:val="both"/>
        <w:rPr>
          <w:rFonts w:ascii="Times New Roman" w:hAnsi="Times New Roman" w:cs="Times New Roman"/>
          <w:sz w:val="28"/>
          <w:szCs w:val="28"/>
        </w:rPr>
      </w:pPr>
      <w:r w:rsidRPr="008B45E2">
        <w:rPr>
          <w:rFonts w:ascii="Times New Roman" w:hAnsi="Times New Roman" w:cs="Times New Roman"/>
          <w:sz w:val="28"/>
          <w:szCs w:val="28"/>
        </w:rPr>
        <w:br/>
        <w:t xml:space="preserve">–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Илкүләм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проектлар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Россиянең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зур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проекты,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гражданлык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җәмгыятен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үстерү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җитди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этәргеч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8B45E2">
        <w:rPr>
          <w:rFonts w:ascii="Times New Roman" w:hAnsi="Times New Roman" w:cs="Times New Roman"/>
          <w:sz w:val="28"/>
          <w:szCs w:val="28"/>
        </w:rPr>
        <w:t>дип</w:t>
      </w:r>
      <w:proofErr w:type="spellEnd"/>
      <w:proofErr w:type="gram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һич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арттырусыз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әйтергә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мөмкин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яктан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темага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тирәнтен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кереп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китәсем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килми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Чөнки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проектлар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юнәлешләренең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исемнәре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генә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дә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аларның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кеше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тормышындагы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барлык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өлкәләрне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колачлавы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ә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инде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проектларны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ашыруның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яшәешебез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сыйфатына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йогынты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ясаячагы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сөйли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Финансист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буларак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соравыгызга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җавап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йөзеннән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саннар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гына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китереп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үтәм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Әмма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саннарның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күпме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кеше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язмышына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йогынты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ясавын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әйтеп-аңлатып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торасы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юктыр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B45E2">
        <w:rPr>
          <w:rFonts w:ascii="Times New Roman" w:hAnsi="Times New Roman" w:cs="Times New Roman"/>
          <w:sz w:val="28"/>
          <w:szCs w:val="28"/>
        </w:rPr>
        <w:t>дип</w:t>
      </w:r>
      <w:proofErr w:type="spellEnd"/>
      <w:proofErr w:type="gram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беләм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>.</w:t>
      </w:r>
    </w:p>
    <w:p w:rsidR="008B45E2" w:rsidRPr="008B45E2" w:rsidRDefault="008B45E2" w:rsidP="008B45E2">
      <w:pPr>
        <w:jc w:val="both"/>
        <w:rPr>
          <w:rFonts w:ascii="Times New Roman" w:hAnsi="Times New Roman" w:cs="Times New Roman"/>
          <w:sz w:val="28"/>
          <w:szCs w:val="28"/>
        </w:rPr>
      </w:pPr>
      <w:r w:rsidRPr="008B45E2">
        <w:rPr>
          <w:rFonts w:ascii="Times New Roman" w:hAnsi="Times New Roman" w:cs="Times New Roman"/>
          <w:sz w:val="28"/>
          <w:szCs w:val="28"/>
        </w:rPr>
        <w:t xml:space="preserve">2019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елга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Республикасында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илкүләм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проектларны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тормышка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ашыру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кысасында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чараларны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финанслауның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гомуми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күләме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25,7 миллиард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сум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тәшкил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B45E2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8B45E2">
        <w:rPr>
          <w:rFonts w:ascii="Times New Roman" w:hAnsi="Times New Roman" w:cs="Times New Roman"/>
          <w:sz w:val="28"/>
          <w:szCs w:val="28"/>
        </w:rPr>
        <w:t>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исәптән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бюджет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средстволары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хисабына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– 18,1, Татарстан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бюджеты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средстволары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хисабына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– 7,6 миллиард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сум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>.</w:t>
      </w:r>
      <w:r w:rsidRPr="008B45E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Тугыз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>ай</w:t>
      </w:r>
      <w:proofErr w:type="gram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эчендә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илкүләм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проектларны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тормышка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ашыруга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15,3 миллиард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сум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акча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җибәрелде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шуның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14,4 миллиард сумы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тиешенчә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тотылды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>.</w:t>
      </w:r>
    </w:p>
    <w:p w:rsidR="008B45E2" w:rsidRDefault="008B45E2" w:rsidP="008B45E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Илкүләм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проектлар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чараларын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вакытында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хәл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кылу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тармак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министрлыкларына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аларны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тормышка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ашыруның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нәтиҗәсен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бәяләү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индикаторларына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ирешү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зарурилыгын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күздә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тотып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вакыт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эчендә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Килешүләрне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үтәүне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B45E2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8B45E2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кирәк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>.</w:t>
      </w:r>
    </w:p>
    <w:p w:rsidR="008B45E2" w:rsidRPr="008B45E2" w:rsidRDefault="008B45E2" w:rsidP="008B45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5E2">
        <w:rPr>
          <w:rFonts w:ascii="Times New Roman" w:hAnsi="Times New Roman" w:cs="Times New Roman"/>
          <w:b/>
          <w:sz w:val="28"/>
          <w:szCs w:val="28"/>
        </w:rPr>
        <w:br/>
        <w:t xml:space="preserve">–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Агымдагы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елда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дәүләт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муниципаль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учреждениеләрне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Бердәм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бухгалтерия учеты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хезмәт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хакын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исә</w:t>
      </w:r>
      <w:proofErr w:type="gramStart"/>
      <w:r w:rsidRPr="008B45E2">
        <w:rPr>
          <w:rFonts w:ascii="Times New Roman" w:hAnsi="Times New Roman" w:cs="Times New Roman"/>
          <w:b/>
          <w:sz w:val="28"/>
          <w:szCs w:val="28"/>
        </w:rPr>
        <w:t>пл</w:t>
      </w:r>
      <w:proofErr w:type="gramEnd"/>
      <w:r w:rsidRPr="008B45E2">
        <w:rPr>
          <w:rFonts w:ascii="Times New Roman" w:hAnsi="Times New Roman" w:cs="Times New Roman"/>
          <w:b/>
          <w:sz w:val="28"/>
          <w:szCs w:val="28"/>
        </w:rPr>
        <w:t>әү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системасына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күчерүгә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тукталып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үтик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Әлеге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чараның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төп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максаты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нидән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гыйбарәт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?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Нәрсәләр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эшләнде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инде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?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Нинди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планнар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бурычлар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билгеләнде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>?</w:t>
      </w:r>
    </w:p>
    <w:p w:rsidR="008B45E2" w:rsidRPr="008B45E2" w:rsidRDefault="008B45E2" w:rsidP="008B45E2">
      <w:pPr>
        <w:jc w:val="both"/>
        <w:rPr>
          <w:rFonts w:ascii="Times New Roman" w:hAnsi="Times New Roman" w:cs="Times New Roman"/>
          <w:sz w:val="28"/>
          <w:szCs w:val="28"/>
        </w:rPr>
      </w:pPr>
      <w:r w:rsidRPr="008B45E2">
        <w:rPr>
          <w:rFonts w:ascii="Times New Roman" w:hAnsi="Times New Roman" w:cs="Times New Roman"/>
          <w:sz w:val="28"/>
          <w:szCs w:val="28"/>
        </w:rPr>
        <w:br/>
        <w:t xml:space="preserve">–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Бердәм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системаны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кертүнең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тө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максаты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– республика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учреждениеләрендә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учет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хисапның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сыйфатын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гына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түгел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бәлки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республикада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планлаштырудан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хисап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төзүгә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кадәр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бюджет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процессының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барлык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этапларын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эченә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алучы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мәгълүмати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киңлек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ягъни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акча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эшләүнең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бербөтен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системасын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ачыклыгын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булдыру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шартлар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тудыру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>.</w:t>
      </w:r>
    </w:p>
    <w:p w:rsidR="008B45E2" w:rsidRPr="008B45E2" w:rsidRDefault="008B45E2" w:rsidP="008B45E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45E2">
        <w:rPr>
          <w:rFonts w:ascii="Times New Roman" w:hAnsi="Times New Roman" w:cs="Times New Roman"/>
          <w:sz w:val="28"/>
          <w:szCs w:val="28"/>
        </w:rPr>
        <w:lastRenderedPageBreak/>
        <w:t>Моңа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кадә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учреждениеләр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үзәкләштерелгән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бухгалтерияләр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бюджет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учетын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хисап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эшен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төрле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махсус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программалар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хәл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кылып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килсә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кадрлар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исәбен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бару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хакларын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исәпләү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кадрлар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хезмәтләре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башка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системаларда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башкарылса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хәзер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барлык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учреждениеләр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мәйданчыкта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эшли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вакытта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учреждениеләрнең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һәммәсе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тармак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үзенчәлекләреннән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чыгып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бухгалтерия учеты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хакын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исә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Pr="008B45E2">
        <w:rPr>
          <w:rFonts w:ascii="Times New Roman" w:hAnsi="Times New Roman" w:cs="Times New Roman"/>
          <w:sz w:val="28"/>
          <w:szCs w:val="28"/>
        </w:rPr>
        <w:t>әүнең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бердәм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стандартлары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кулланыла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>.</w:t>
      </w:r>
    </w:p>
    <w:p w:rsidR="008B45E2" w:rsidRPr="008B45E2" w:rsidRDefault="008B45E2" w:rsidP="008B45E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Системаны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эшләгәндә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куелган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тө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таләпләр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– электрон документ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әйләнеше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башка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системаларына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электрон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мәйданчыкларга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туры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килү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алар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электрон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хезмәттәшлек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мәгълүматны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саклау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аны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системага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мәгълүматтан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файдаланучылар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тапкыр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кертү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иде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>.</w:t>
      </w:r>
      <w:r w:rsidRPr="008B45E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Учреждениеләрнең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бухгалтерия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учетын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баруының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дөреслеген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өстәмә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тикшерү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системадан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файдаланучыларның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аң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>а</w:t>
      </w:r>
      <w:proofErr w:type="spellEnd"/>
      <w:proofErr w:type="gramEnd"/>
      <w:r w:rsidRPr="008B45E2">
        <w:rPr>
          <w:rFonts w:ascii="Times New Roman" w:hAnsi="Times New Roman" w:cs="Times New Roman"/>
          <w:sz w:val="28"/>
          <w:szCs w:val="28"/>
        </w:rPr>
        <w:t xml:space="preserve"> ни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дәрәҗәдә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ияләшүен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бәяләү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беренче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яртыеллыгына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фәкать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бухгалтерия учеты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мәгълүматлары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генә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аларны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кулдан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төзәтү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мөмкинлеге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бирелмичә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бухгалтерия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хисабы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формаларын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җыеп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карау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эше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башкарылды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>.</w:t>
      </w:r>
    </w:p>
    <w:p w:rsidR="008B45E2" w:rsidRPr="008B45E2" w:rsidRDefault="008B45E2" w:rsidP="008B45E2">
      <w:pPr>
        <w:jc w:val="both"/>
        <w:rPr>
          <w:rFonts w:ascii="Times New Roman" w:hAnsi="Times New Roman" w:cs="Times New Roman"/>
          <w:sz w:val="28"/>
          <w:szCs w:val="28"/>
        </w:rPr>
      </w:pPr>
      <w:r w:rsidRPr="008B45E2">
        <w:rPr>
          <w:rFonts w:ascii="Times New Roman" w:hAnsi="Times New Roman" w:cs="Times New Roman"/>
          <w:sz w:val="28"/>
          <w:szCs w:val="28"/>
        </w:rPr>
        <w:t xml:space="preserve">Алга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таба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тугыз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айлык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еллык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хисаплар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дә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шундый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үткә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B45E2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планлаштырыла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вакытта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еллык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хисап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вариантны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тө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вариантка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әйләндерү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күздә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тотыла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>.</w:t>
      </w:r>
      <w:r w:rsidRPr="008B45E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Министрлыклар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ведомстволар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муниципалитетлар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үзләренең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карамагындагы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учреждениеләргә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мө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8B45E2">
        <w:rPr>
          <w:rFonts w:ascii="Times New Roman" w:hAnsi="Times New Roman" w:cs="Times New Roman"/>
          <w:sz w:val="28"/>
          <w:szCs w:val="28"/>
        </w:rPr>
        <w:t>әкыйль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рәвештә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әнә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шундый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мониторинг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уздыра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ала.</w:t>
      </w:r>
      <w:r w:rsidRPr="008B45E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Моннан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тыш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шуңа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игътибарны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юнәлтәсем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килә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министрлыкларга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ведомстволар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муниципалитетларга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учреждениеләренең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финанс-хуҗалык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эшчәнлеген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хакын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исә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Pr="008B45E2">
        <w:rPr>
          <w:rFonts w:ascii="Times New Roman" w:hAnsi="Times New Roman" w:cs="Times New Roman"/>
          <w:sz w:val="28"/>
          <w:szCs w:val="28"/>
        </w:rPr>
        <w:t>әү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реаль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вакыт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режимында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анализлау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мөмкинлеге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тудырылды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>.</w:t>
      </w:r>
    </w:p>
    <w:p w:rsidR="008B45E2" w:rsidRDefault="008B45E2" w:rsidP="008B45E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Безнең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тө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бурыч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булып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агымдагы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тугыз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бухгалтерия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салым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хисабын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формалаштыру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еллык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хисапны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тапшыруга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әзерләү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ведомство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карамагындагы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учреждениеләр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эшләүне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көчәйтү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кала.</w:t>
      </w:r>
    </w:p>
    <w:p w:rsidR="008B45E2" w:rsidRPr="008B45E2" w:rsidRDefault="008B45E2" w:rsidP="008B45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5E2">
        <w:rPr>
          <w:rFonts w:ascii="Times New Roman" w:hAnsi="Times New Roman" w:cs="Times New Roman"/>
          <w:sz w:val="28"/>
          <w:szCs w:val="28"/>
        </w:rPr>
        <w:br/>
      </w:r>
      <w:r w:rsidRPr="008B45E2">
        <w:rPr>
          <w:rFonts w:ascii="Times New Roman" w:hAnsi="Times New Roman" w:cs="Times New Roman"/>
          <w:b/>
          <w:sz w:val="28"/>
          <w:szCs w:val="28"/>
        </w:rPr>
        <w:t xml:space="preserve">– Радик </w:t>
      </w:r>
      <w:proofErr w:type="spellStart"/>
      <w:proofErr w:type="gramStart"/>
      <w:r w:rsidRPr="008B45E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8B45E2">
        <w:rPr>
          <w:rFonts w:ascii="Times New Roman" w:hAnsi="Times New Roman" w:cs="Times New Roman"/>
          <w:b/>
          <w:sz w:val="28"/>
          <w:szCs w:val="28"/>
        </w:rPr>
        <w:t>әүфович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финанс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елының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икенче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яртыеллыгында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финансистларның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төп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сынавы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булып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чираттагы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өч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елга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бюджет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проектын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формалаштыру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тора. Сентябрь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ахырына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Татарстан Президенты</w:t>
      </w:r>
      <w:proofErr w:type="gramStart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Д</w:t>
      </w:r>
      <w:proofErr w:type="gramEnd"/>
      <w:r w:rsidRPr="008B45E2">
        <w:rPr>
          <w:rFonts w:ascii="Times New Roman" w:hAnsi="Times New Roman" w:cs="Times New Roman"/>
          <w:b/>
          <w:sz w:val="28"/>
          <w:szCs w:val="28"/>
        </w:rPr>
        <w:t>әүләт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Советына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еллык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Юлламасын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кертте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. Октябрь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аенда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киң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җәмәгатьчелек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катнашында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бюджет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турында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закон проекты </w:t>
      </w:r>
      <w:r w:rsidRPr="008B45E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карала. 2020 – 2022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елларга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бюджет проекты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бүген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инде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нинди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этаплар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аша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узды?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Аның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үзенчәлекләре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турында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сөйлә</w:t>
      </w:r>
      <w:proofErr w:type="gramStart"/>
      <w:r w:rsidRPr="008B45E2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үтсәгез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b/>
          <w:sz w:val="28"/>
          <w:szCs w:val="28"/>
        </w:rPr>
        <w:t>иде</w:t>
      </w:r>
      <w:proofErr w:type="spellEnd"/>
      <w:r w:rsidRPr="008B45E2">
        <w:rPr>
          <w:rFonts w:ascii="Times New Roman" w:hAnsi="Times New Roman" w:cs="Times New Roman"/>
          <w:b/>
          <w:sz w:val="28"/>
          <w:szCs w:val="28"/>
        </w:rPr>
        <w:t>.</w:t>
      </w:r>
    </w:p>
    <w:p w:rsidR="008B45E2" w:rsidRPr="008B45E2" w:rsidRDefault="008B45E2" w:rsidP="008B45E2">
      <w:pPr>
        <w:jc w:val="both"/>
        <w:rPr>
          <w:rFonts w:ascii="Times New Roman" w:hAnsi="Times New Roman" w:cs="Times New Roman"/>
          <w:sz w:val="28"/>
          <w:szCs w:val="28"/>
        </w:rPr>
      </w:pPr>
      <w:r w:rsidRPr="008B45E2">
        <w:rPr>
          <w:rFonts w:ascii="Times New Roman" w:hAnsi="Times New Roman" w:cs="Times New Roman"/>
          <w:sz w:val="28"/>
          <w:szCs w:val="28"/>
        </w:rPr>
        <w:br/>
        <w:t xml:space="preserve">–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Чираттагы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өч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елга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бюджет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закон проекты 23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статьядан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40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кушымтадан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тора. Бюджет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юлламасының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гомуми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күләме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4098 бит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тәшкил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итә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Агымдагы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Бюджет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юлламасын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әзерләү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процессында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кү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кенә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законнар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норматив-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хокукый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актлар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эшләү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таләп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ителде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Россия Федерация Бюджет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кодексындагы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үзгәрешләргә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(2020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елгы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бюджетлардан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башлап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көченә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керә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бәйле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бюджетларга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республика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бюджетыннан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субсидияләр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субвенцияләр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башка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бюджетара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трансфертлар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шартларына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бурычны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җайга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салуга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бәйле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мәсьәлә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8B45E2">
        <w:rPr>
          <w:rFonts w:ascii="Times New Roman" w:hAnsi="Times New Roman" w:cs="Times New Roman"/>
          <w:sz w:val="28"/>
          <w:szCs w:val="28"/>
        </w:rPr>
        <w:t>әргә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кагыла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Татарстан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ике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законы кабул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ителде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Министрлар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Кабинетының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утыз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биш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эшләнде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Законнар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проектлары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ике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дәү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8B45E2">
        <w:rPr>
          <w:rFonts w:ascii="Times New Roman" w:hAnsi="Times New Roman" w:cs="Times New Roman"/>
          <w:sz w:val="28"/>
          <w:szCs w:val="28"/>
        </w:rPr>
        <w:t>әт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телендә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кертелде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тәртип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7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8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октябрендә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Чаллы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Арча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Яшел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Үзән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шәһәрләрендә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2020 – 2022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елларга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бюджет проекты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фикер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алышуга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багышланган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зона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киңәшмәләре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узды. Документ 10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октябрьдә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парламент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карарларында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тыңланды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8 – 15 октябрь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көннәрендә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бюджет проекты республика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8B45E2">
        <w:rPr>
          <w:rFonts w:ascii="Times New Roman" w:hAnsi="Times New Roman" w:cs="Times New Roman"/>
          <w:sz w:val="28"/>
          <w:szCs w:val="28"/>
        </w:rPr>
        <w:t>әүләт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Советы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комитетлары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утырышларында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каралды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Хәзер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инде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төп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көчне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23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октябрьгә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proofErr w:type="gramStart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8B45E2">
        <w:rPr>
          <w:rFonts w:ascii="Times New Roman" w:hAnsi="Times New Roman" w:cs="Times New Roman"/>
          <w:sz w:val="28"/>
          <w:szCs w:val="28"/>
        </w:rPr>
        <w:t>әүләт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Советы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сессиясенә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(республика бюджеты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беренче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укылышта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карап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тикшереләчәк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тупларга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кирәк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>.</w:t>
      </w:r>
      <w:r w:rsidRPr="008B45E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Республиканың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тулаем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ил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бюджетының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елдан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-ел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социаль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юнәлешле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булып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калуын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әйтеп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үтәргә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кирәк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2020 – 2022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елларга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бюджет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проектында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беренче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чиратта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кирәкле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социаль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әһәмиятле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чыгымнар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үк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дә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B45E2">
        <w:rPr>
          <w:rFonts w:ascii="Times New Roman" w:hAnsi="Times New Roman" w:cs="Times New Roman"/>
          <w:sz w:val="28"/>
          <w:szCs w:val="28"/>
        </w:rPr>
        <w:t>әҗәдә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сакланып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кала.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Егерменче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елга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планда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каралган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бюджетта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алар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чыгымнарның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гомуми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күләменең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70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проценттан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артыграгын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тәшкил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итә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Гадәттәгечә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программалары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чыгымнарны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бүлү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дәвам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иттереләчәк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Инде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икенче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ел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рәттән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программаларында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барлыгы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22,6 миллиард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сумлык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илкүләм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проектлар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чагылыш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табачак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2020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капиталь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характердагы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чыгымнарны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финанслау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дәвам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иттереләчәк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 Республика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районнары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шәһәрләренә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килгәндә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хәзерге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вакытта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аларга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бюджетларны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формалаштыру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эшен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актив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тө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8B45E2">
        <w:rPr>
          <w:rFonts w:ascii="Times New Roman" w:hAnsi="Times New Roman" w:cs="Times New Roman"/>
          <w:sz w:val="28"/>
          <w:szCs w:val="28"/>
        </w:rPr>
        <w:t>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башкарырга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кирәк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>.</w:t>
      </w:r>
    </w:p>
    <w:p w:rsidR="008B45E2" w:rsidRPr="008B45E2" w:rsidRDefault="008B45E2" w:rsidP="008B45E2">
      <w:pPr>
        <w:jc w:val="both"/>
        <w:rPr>
          <w:rFonts w:ascii="Times New Roman" w:hAnsi="Times New Roman" w:cs="Times New Roman"/>
          <w:sz w:val="28"/>
          <w:szCs w:val="28"/>
        </w:rPr>
      </w:pPr>
      <w:r w:rsidRPr="008B45E2">
        <w:rPr>
          <w:rFonts w:ascii="Times New Roman" w:hAnsi="Times New Roman" w:cs="Times New Roman"/>
          <w:sz w:val="28"/>
          <w:szCs w:val="28"/>
        </w:rPr>
        <w:t xml:space="preserve">2019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аенда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тупланма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бюджетының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керем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өлешенә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228,3 миллиард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сум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акча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кергән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исәптән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салым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салым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булмаган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керемнә</w:t>
      </w:r>
      <w:proofErr w:type="gramStart"/>
      <w:r w:rsidRPr="008B45E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8B45E2">
        <w:rPr>
          <w:rFonts w:ascii="Times New Roman" w:hAnsi="Times New Roman" w:cs="Times New Roman"/>
          <w:sz w:val="28"/>
          <w:szCs w:val="28"/>
        </w:rPr>
        <w:t xml:space="preserve"> – 205,8 миллиард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сум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кире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кайтарылмый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акчалар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субсидияләр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һ.б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 xml:space="preserve">.) – 22,5 миллиард </w:t>
      </w:r>
      <w:proofErr w:type="spellStart"/>
      <w:r w:rsidRPr="008B45E2">
        <w:rPr>
          <w:rFonts w:ascii="Times New Roman" w:hAnsi="Times New Roman" w:cs="Times New Roman"/>
          <w:sz w:val="28"/>
          <w:szCs w:val="28"/>
        </w:rPr>
        <w:t>сум</w:t>
      </w:r>
      <w:proofErr w:type="spellEnd"/>
      <w:r w:rsidRPr="008B45E2">
        <w:rPr>
          <w:rFonts w:ascii="Times New Roman" w:hAnsi="Times New Roman" w:cs="Times New Roman"/>
          <w:sz w:val="28"/>
          <w:szCs w:val="28"/>
        </w:rPr>
        <w:t>.</w:t>
      </w:r>
    </w:p>
    <w:p w:rsidR="00D8105F" w:rsidRDefault="00D8105F"/>
    <w:sectPr w:rsidR="00D81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5E2"/>
    <w:rsid w:val="00315662"/>
    <w:rsid w:val="0045055D"/>
    <w:rsid w:val="008B45E2"/>
    <w:rsid w:val="00BE2716"/>
    <w:rsid w:val="00D8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4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45E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B45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4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45E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B45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2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22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95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1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1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492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99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715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7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2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1258</Words>
  <Characters>7177</Characters>
  <Application>Microsoft Office Word</Application>
  <DocSecurity>0</DocSecurity>
  <Lines>59</Lines>
  <Paragraphs>16</Paragraphs>
  <ScaleCrop>false</ScaleCrop>
  <Company/>
  <LinksUpToDate>false</LinksUpToDate>
  <CharactersWithSpaces>8419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Гулюза Гимадиева</dc:creator>
  <cp:lastModifiedBy>Гулюза Гимадиева</cp:lastModifiedBy>
  <cp:revision>2</cp:revision>
  <dcterms:created xsi:type="dcterms:W3CDTF">2019-11-11T11:57:00Z</dcterms:created>
  <dcterms:modified xsi:type="dcterms:W3CDTF">2019-11-11T11:59:00Z</dcterms:modified>
</cp:coreProperties>
</file>